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АРБИТРАЖНЫЙ СУД СЕВЕРО-ЗАПАДНОГО ОКРУГА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августа 2026 г. по делу N А56-30966/2025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Фамилии судей Арбитражного суда Северо-Западного округа представлены в соответствии с оригиналом.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Арбитражный суд Северо-Западного округа в составе председательствующего Баженовой Ю.С., судей Кадулина А.В., Сапоткиной Т.И., при ведении протокола помощником судьи Калитиной В.И., при участии от общества с ограниченной ответственностью "Новотранс Актив" Галиева И.К. (доверенность от 01.01.2026) посредством веб-конференции, от открытого акционерного общества "Российские железные дороги" Преображенского Э.В. (доверенность от 28.07.2026), рассмотрев 12.08.2026 в открытом судебном заседании с использованием системы веб-конференции кассационную жалобу открытого акционерного общества "Российские железные дороги" на </w:t>
      </w:r>
      <w:hyperlink w:history="0" r:id="rId7" w:tooltip="Ссылка на КонсультантПлюс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Арбитражного суда города Санкт-Петербурга и Ленинградской области от 03.10.2025 и </w:t>
      </w:r>
      <w:hyperlink w:history="0" r:id="rId8" w:tooltip="Ссылка на КонсультантПлюс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Тринадцатого арбитражного апелляционного суда от 10.02.2026 по делу N А56-30966/2025,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установил: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Общество с ограниченной ответственностью "Новотранс Актив", адрес: 125167, Москва, Ленинградский пр., д. 37, к. 3, ОГРН 5167746483350, ИНН 7706445290 (далее - Общество), обратилось в Арбитражный суд города Санкт-Петербурга и Ленинградской области с иском о взыскании с открытого акционерного общества "Российские железные дороги", адрес: 107174, Москва, Новая Басманная ул., д. 2/1, стр. 1, ОГРН 1037739877295, ИНН 7708503727 (далее - Компания), 651 000 руб. задолженности по арендной плате за период с 01.07.2024 по 30.11.2024, 78 901 руб. 20 коп. неустойки за период с 11.07.2024 по 30.11.2024 и с 01.12.2024 по день фактического исполнения обязательства по договору субаренды части земельного участка от 01.12.2016 N 567.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Решением суда первой инстанции от 03.10.2025 иск удовлетворен.</w:t>
      </w:r>
    </w:p>
    <w:p>
      <w:pPr>
        <w:pStyle w:val="0"/>
        <w:spacing w:before="200" w:lineRule="auto"/>
        <w:ind w:firstLine="540"/>
        <w:jc w:val="both"/>
      </w:pPr>
      <w:hyperlink w:history="0" r:id="rId9" w:tooltip="Ссылка на КонсультантПлюс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Тринадцатого арбитражного апелляционного суда от 10.02.2026 данное </w:t>
      </w:r>
      <w:hyperlink w:history="0" r:id="rId10" w:tooltip="Ссылка на КонсультантПлюс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оставлено без изменения.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кассационной жалобе Компания, ссылаясь на неправильное применение судами норм материального и процессуального права, несоответствие выводов судов обстоятельствам дела и представленным доказательствам, просит отменить </w:t>
      </w:r>
      <w:hyperlink w:history="0" r:id="rId11" w:tooltip="Ссылка на КонсультантПлюс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от 03.10.2025 и </w:t>
      </w:r>
      <w:hyperlink w:history="0" r:id="rId12" w:tooltip="Ссылка на КонсультантПлюс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от 10.02.2026, направить дело на новое рассмотрение в суд первой инстанции.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мнению подателя жалобы, с учетом особого правового режима спорного участка, относящегося к территории морского порта, размер субарендной платы имеет регулируемый характер и должен определяться с учетом положений </w:t>
      </w:r>
      <w:hyperlink w:history="0" r:id="rId13" w:tooltip="Федеральный закон от 08.11.2007 N 261-ФЗ (ред. от 23.05.2025) &quot;О морских портах в Российской Федерации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статьи 31</w:t>
        </w:r>
      </w:hyperlink>
      <w:r>
        <w:rPr>
          <w:sz w:val="20"/>
        </w:rPr>
        <w:t xml:space="preserve"> Федерального закона от 08.11.2007 N 261-ФЗ "О морских портах в Российской Федерации и о внесении изменений в отдельные законодательные акты Российской Федерации" (далее - Закон N 261-ФЗ), </w:t>
      </w:r>
      <w:hyperlink w:history="0" r:id="rId14" w:tooltip="Приказ Минэкономразвития России от 02.06.2012 N 322 &quot;Об утверждении ставки арендной платы в отношении земельных участков, находящихся в собственности Российской Федерации и предоставленных (занятых) для размещения 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&quot; (Зарегистрировано в Минюсте России 31.07.2012 N 2505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экономического развития Российской Федерации от 02.06.2012 N 322 (далее - приказ N 322), </w:t>
      </w:r>
      <w:hyperlink w:history="0" r:id="rId15" w:tooltip="Постановление Правительства РФ от 16.07.2009 N 582 (ред. от 22.06.2024) &quot;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16.07.2009 N 582 (далее - постановление N 582); в результате неправомерного одностороннего изменения истцом размера арендной платы этот размер увеличился в 18 раз при уменьшении кадастровой стоимости земельного участка; вывод судов основан на отчете оценщика, не соответствующем требованиям законодательства; суды необоснованно отказали в снижении неустойки на основании </w:t>
      </w:r>
      <w:hyperlink w:history="0" r:id="rId16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статьи 333</w:t>
        </w:r>
      </w:hyperlink>
      <w:r>
        <w:rPr>
          <w:sz w:val="20"/>
        </w:rPr>
        <w:t xml:space="preserve"> Гражданского кодекса Российской Федерации (далее - ГК РФ).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отзыве на кассационную жалобу Общество просит оставить обжалуемые судебные акты без изменения, считая их законными и обоснованными.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судебном заседании представитель Компании поддержал доводы кассационной жалобы, а представитель Общества возражал против ее удовлетворения по мотивам, изложенным в отзыве.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Законность обжалуемых судебных актов проверена в кассационном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Как установлено судами и следует из материалов дела, между Обществом (арендатором) и Компанией (субарендатором) заключен договор от 01.12.2016 N 567 субаренды части площадью 0,62 га (6204 кв. м) земельного участка площадью 219,1057 га (2 191 057 кв. м) с кадастровым номером 47:20:0223002:8, расположенного по адресу: Ленинградская обл., Кингисеппский мун. р-н, Вистинское сп., в северной части кадастрового квартала (Морской торговый порт Усть-Луга), для строительства соединительного пути Лужская - Нефтяная - Лужская - Восточная, сроком 11 месяцев (далее - договор субаренды).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пункте 1.3 договора субаренды указано, что земельный участок с кадастровым номером 47:20:0223002:8 принадлежит арендатору на основании договора аренды от 04.03.2008 N 187-Н, заключенного с Федеральным агентством морского и речного транспорта (далее - Росморречфлот).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пункту 3.2 договора субарендатор обязуется уплачивать установленную договором арендную плату ежемесячно, не позднее 10 числа месяца, подлежащего оплате.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нарушение указанного пункта договором субаренды предусмотрена неустойка в размере 0,15% от просроченной суммы арендных платежей за каждый день просрочки (пункт 5.2 договора субаренды).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пункту 3.1 договора субаренды величина арендной платы составляет 3669 руб. 90 коп. в месяц.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пунктом 3.5 договора субаренды размер арендной платы изменяется в одностороннем порядке по требованию арендатора без согласования с субарендатором и без заключения дополнительных соглашений о соответствующих изменениях или дополнениях к настоящему договору и подлежит обязательной уплате субарендатором на основании счета арендатора в случае изменения кадастровой стоимости земельного участка, применения или изменения коэффициента дефлятора, перевода земельного участка из одной категории земель в другую или изменения вида разрешенного использования земельного участка в установленном порядке, увеличения налоговых сборов и платежей за участок.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основании указанного пункта уведомлением от 13.12.2017 N 535 арендатор увеличил размер арендной платы с 01.01.2018 до 3963 руб. 49 коп. в месяц в связи с изменением размера арендных платежей по договору аренды от 04.03.2008 N 187-Н.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Дополнительным соглашением от 29.12.2018 N 0/4 к договору субаренды размер арендной платы увеличен до 4030 руб. 67 коп. в месяц.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Уведомлением от 03.08.2023 N 1644-ОП/НА Общество сообщило Компании об увеличении с 01.09.2023 размера арендной платы по договору субаренды до 6858 руб. 64 коп. в связи с ежегодной индексацией.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Уведомлением от 03.06.2024 исх. N 240603-5-ОП/НА Общество со ссылкой на пункт 3.5 договора сообщило об увеличении с 01.07.2024 размера арендной платы по договору субаренды до 130 200 руб. в соответствии с отчетом об оценке от 14.12.2023 N 3-40218/23 в связи с изменением вида разрешенного использования земельного участка, его кадастровой стоимости, а также изменением арендной платы по договору от 04.03.2008 N 187-Н.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Ссылаясь на нарушение субарендатором обязанности по внесению арендной платы по договору субаренды за апрель - ноябрь 2024 года, Общество направило Компании претензию от 09.12.2024 исх. N 12-ПР/НА с требованием об оплате задолженности и неустойки.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Поскольку требования, изложенные в претензии, были удовлетворены Компанией не в полном объеме, Общество обратилось в арбитражный суд с иском о взыскании задолженности по договору субаренды за июль - ноябрь 2024 года и неустойки.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отзыве на иск Компания возражала против увеличения размера арендной платы до 130 200 руб., заявила о внесении арендной платы за июль - март 2025 года исходя из размера арендной платы 4252 руб. 36 коп., указала на ошибку в платежном поручении от 25.12.2024 N 191308 при указании месяца оплаты (вместо июля указан июнь), а также просила снизить размер пеней на основании </w:t>
      </w:r>
      <w:hyperlink w:history="0" r:id="rId17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статьи 333</w:t>
        </w:r>
      </w:hyperlink>
      <w:r>
        <w:rPr>
          <w:sz w:val="20"/>
        </w:rPr>
        <w:t xml:space="preserve"> ГК РФ.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Суды первой и апелляционной инстанций признали иск обоснованным и подлежащим удовлетворению в полном объеме.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Кассационная инстанция, исследовав материалы дела, изучив доводы жалобы и проверив правильность применения судами норм материального и процессуального права, считает, что обжалуемые судебные акты подлежат отмене в связи со следующим.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8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пунктом 1 статьи 424</w:t>
        </w:r>
      </w:hyperlink>
      <w:r>
        <w:rPr>
          <w:sz w:val="20"/>
        </w:rPr>
        <w:t xml:space="preserve"> ГК РФ исполнение договора оплачивается по цене, установленной соглашением сторон. В предусмотренных законом случаях применяются цены (тарифы, расценки, ставки и т.п.), устанавливаемые или регулируемые уполномоченными на то государственными органами и (или) органами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Изменение цены после заключения договора допускается в случаях и на условиях, предусмотренных договором, законом либо в установленном законом порядке (</w:t>
      </w:r>
      <w:hyperlink w:history="0" r:id="rId19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пункт 2 статьи 424</w:t>
        </w:r>
      </w:hyperlink>
      <w:r>
        <w:rPr>
          <w:sz w:val="20"/>
        </w:rPr>
        <w:t xml:space="preserve"> ГК РФ).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Вопреки доводу Компании о регулируемом характере арендной платы по договору субаренды, </w:t>
      </w:r>
      <w:hyperlink w:history="0" r:id="rId20" w:tooltip="Федеральный закон от 08.11.2007 N 261-ФЗ (ред. от 23.05.2025) &quot;О морских портах в Российской Федерации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N 261-ФЗ, </w:t>
      </w:r>
      <w:hyperlink w:history="0" r:id="rId21" w:tooltip="Постановление Правительства РФ от 16.07.2009 N 582 (ред. от 22.06.2024) &quot;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N 582 и </w:t>
      </w:r>
      <w:hyperlink w:history="0" r:id="rId22" w:tooltip="Приказ Минэкономразвития России от 02.06.2012 N 322 &quot;Об утверждении ставки арендной платы в отношении земельных участков, находящихся в собственности Российской Федерации и предоставленных (занятых) для размещения 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&quot; (Зарегистрировано в Минюсте России 31.07.2012 N 2505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N 322 прямо не регулируют отношения по субаренде находящихся в государственной собственности земельных участков в границах территории морского 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3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sz w:val="20"/>
            <w:color w:val="0000ff"/>
          </w:rPr>
          <w:t xml:space="preserve">абзацем третьим пункта 2 статьи 615</w:t>
        </w:r>
      </w:hyperlink>
      <w:r>
        <w:rPr>
          <w:sz w:val="20"/>
        </w:rPr>
        <w:t xml:space="preserve"> ГК РФ к договорам субаренды применяются правила о договорах аренды, если иное не установлено законом или иными правовыми актами.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силу </w:t>
      </w:r>
      <w:hyperlink w:history="0" r:id="rId24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sz w:val="20"/>
            <w:color w:val="0000ff"/>
          </w:rPr>
          <w:t xml:space="preserve">пункта 1 статьи 614</w:t>
        </w:r>
      </w:hyperlink>
      <w:r>
        <w:rPr>
          <w:sz w:val="20"/>
        </w:rPr>
        <w:t xml:space="preserve"> ГК РФ порядок, условия и сроки внесения арендной платы определяются договором аренды.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</w:t>
      </w:r>
      <w:hyperlink w:history="0" r:id="rId25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sz w:val="20"/>
            <w:color w:val="0000ff"/>
          </w:rPr>
          <w:t xml:space="preserve">пункту 3 статьи 614</w:t>
        </w:r>
      </w:hyperlink>
      <w:r>
        <w:rPr>
          <w:sz w:val="20"/>
        </w:rPr>
        <w:t xml:space="preserve"> ГК РФ, если иное не предусмотрено договором, размер арендной платы может изменяться по соглашению сторон в сроки, предусмотренные договором, но не чаще одного раза в год. </w:t>
      </w:r>
      <w:hyperlink w:history="0" r:id="rId26" w:tooltip="Федеральный закон от 08.11.2007 N 261-ФЗ (ред. от 23.05.2025) &quot;О морских портах в Российской Федерации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могут быть предусмотрены иные минимальные сроки пересмотра размера арендной платы для отдельных видов аренды, а также для аренды отдельных видов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Исходя из </w:t>
      </w:r>
      <w:hyperlink w:history="0" r:id="rId27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статей 310</w:t>
        </w:r>
      </w:hyperlink>
      <w:r>
        <w:rPr>
          <w:sz w:val="20"/>
        </w:rPr>
        <w:t xml:space="preserve">, </w:t>
      </w:r>
      <w:hyperlink w:history="0" r:id="rId28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450</w:t>
        </w:r>
      </w:hyperlink>
      <w:r>
        <w:rPr>
          <w:sz w:val="20"/>
        </w:rPr>
        <w:t xml:space="preserve"> ГК РФ, по общему правилу, договор может быть изменен или расторгнут по соглашению сторон; по требованию одной стороны договор может быть изменен по решению суда при существенном нарушении договора другой стороной; в иных случаях, предусмотренных названным </w:t>
      </w:r>
      <w:hyperlink w:history="0" r:id="rId29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, другими законами или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Возражая против заявленных требований, Компания ссылалась на необоснованное одностороннее увеличение истцом размера арендной платы с 01.07.2024 и, соответственно, необоснованность расчета задолженности с учетом этого увеличения.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пункту 3.1 договора субаренды арендная плата установлена в твердой сумме. Пунктом 3.5 договора субаренды арендатору предоставлено право в бесспорном одностороннем порядке изменять размер арендной платы, но не порядок ее определения.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силу </w:t>
      </w:r>
      <w:hyperlink w:history="0" r:id="rId30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статьи 431</w:t>
        </w:r>
      </w:hyperlink>
      <w:r>
        <w:rPr>
          <w:sz w:val="20"/>
        </w:rPr>
        <w:t xml:space="preserve"> ГК РФ при толковании условий договора судом принимается во внимание буквальное значение содержащихся в нем слов и выражений. Буквальное значение условия договора в случае его неясности устанавливается путем сопоставления с другими условиями и смыслом договора в целом. Если правила, содержащиеся в </w:t>
      </w:r>
      <w:hyperlink w:history="0" r:id="rId31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части первой настоящей статьи</w:t>
        </w:r>
      </w:hyperlink>
      <w:r>
        <w:rPr>
          <w:sz w:val="20"/>
        </w:rPr>
        <w:t xml:space="preserve">, не позволяют определить содержание договора, должна быть выяснена действительная общая воля сторон с учетом цели договора. При этом принимаются во внимание все соответствующие обстоятельства, включая предшествующие договору переговоры и переписку, практику, установившуюся во взаимных отношениях сторон, обычаи, последующее поведение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рассматриваемом случае пунктом 3.5 договора субаренды предусмотрена возможность изменения арендатором в одностороннем порядке размера арендной платы в случае в случае изменения кадастровой стоимости земельного участка, применения или изменения коэффициента дефлятора, перевода земельного участка из одной категории земель в другую или изменения вида разрешенного использования земельного участка в установленном порядке, увеличения налоговых сборов и платежей за участок.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обоснование увеличения размера арендной платы с 01.07.2024 Общество сослалось на изменение вида разрешенного использования и кадастровой стоимости земельного участка с кадастровым номером 47:20:0223002:8, арендной платы по договору от 04.03.2008 N 187-Н.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Между тем согласно представленным в материалы дела выпискам из Единого государственного реестра недвижимости от 25.01.2023 и от 29.05.2024 кадастровая стоимость спорного земельного участка с 06.09.2023 изменилась в сторону уменьшения.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уведомлении Росморречфлот от 06.02.2024 N АПУ-179, копия которого представлена в материалы дела, указано на изменение размера арендной платы на уровень инфляции - 4,5%.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Однако Общество уведомлением от 03.06.2024 исх. N 240603-5-ОП/НА увеличило размер арендной платы в более чем в 18 раз, определив его, равным рыночной стоимости арендной платы, указанной в отчете об оценке от 14.12.2023 N 3-40218/23 - 130 200 руб.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тем, из буквального толкования пункта 3.5 договора субаренды не следует, что увеличение арендной платы должно происходить до рыночной стоимости земельного участка.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Как разъяснено в </w:t>
      </w:r>
      <w:hyperlink w:history="0" r:id="rId32" w:tooltip="Постановление Пленума ВАС РФ от 17.11.2011 N 73 (ред. от 25.12.2013) &quot;Об отдельных вопросах практики применения правил Гражданского кодекса Российской Федерации о договоре аренды&quot; {КонсультантПлюс}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если в отсутствие государственного регулирования арендной платы договор аренды предусматривает право арендодателя в одностороннем порядке изменять ее размер, то в случаях, когда будет доказано, что в результате такого одностороннего изменения она увеличилась непропорционально изменению средних рыночных ставок, уплачиваемых за аренду аналогичного имущества в данной местности за соответствующий период, и существенно их превысила, что свидетельствует о злоупотреблении арендодателем своим правом, суд на основании </w:t>
      </w:r>
      <w:hyperlink w:history="0" r:id="rId33" w:tooltip="&quot;Гражданский кодекс Российской Федерации (часть первая)&quot; от 30.11.1994 N 51-ФЗ (ред. от 31.07.2025, с изм. от 25.03.2026) (с изм. и доп., вступ. в силу с 01.08.2025) ------------ Недействующая редакция {КонсультантПлюс}">
        <w:r>
          <w:rPr>
            <w:sz w:val="20"/>
            <w:color w:val="0000ff"/>
          </w:rPr>
          <w:t xml:space="preserve">пункта 2 статьи 10</w:t>
        </w:r>
      </w:hyperlink>
      <w:r>
        <w:rPr>
          <w:sz w:val="20"/>
        </w:rPr>
        <w:t xml:space="preserve"> ГК РФ отказывает во взыскании арендной платы в части, превышающей названные средние рыночные ставки.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 материалов дела и пояснений сторон не следует, что изначально размер арендной платы в договоре субаренды был основан на рыночной стоимости арендной платы. Условиями договора не предусмотрено, что размер арендной платы устанавливается в соответствии с рыночной стоимостью арендной платы на основании отчета независимого оценщика.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таком случае направление Обществом Компании уведомления от 03.06.2024 об установлении с 01.07.2024 размера арендной платы, равного рыночной ее стоимости, свидетельствует об изменении в одностороннем порядке не только размера арендной платы, но и порядка его определения. Однако такое право не предоставлено Обществу ни законом (</w:t>
      </w:r>
      <w:hyperlink w:history="0" r:id="rId34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sz w:val="20"/>
            <w:color w:val="0000ff"/>
          </w:rPr>
          <w:t xml:space="preserve">пункт 3 статьи 614</w:t>
        </w:r>
      </w:hyperlink>
      <w:r>
        <w:rPr>
          <w:sz w:val="20"/>
        </w:rPr>
        <w:t xml:space="preserve"> ГК РФ), ни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данном случае Общество в одностороннем порядке увеличило размер арендной платы более чем в 18 раз. При таком очевидном многократном увеличении размера арендной платы судам в целях оценки поведения Общества с точки зрения его добросовестности следовало проверить, изменило ли Общество в одностороннем порядке размер арендной платы пропорционально изменению средних рыночных ставок, то есть соответствует ли повышение арендной платы в 18 раз такому же увеличению рыночных ставок за аналогичный период, однако суды этого не сделали.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таких обстоятельствах выводы судов об удовлетворении исковых требований в заявленном Обществом размере с учетом увеличения размера арендной платы с 01.07.2024 более чем в 18 раз нельзя признать соответствующими обстоятельствам спора и нормам права, в связи с чем обжалуемые судебные акты подлежат отмене с направлением дела на новое рассмотрение в арбитражный суд первой инстанции.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новом рассмотрении суду необходимо по результатам толкования условий договора субаренды установить их содержание, касающихся порядка определения размера арендной платы, порядка и оснований изменения размера арендной платы; проверить обоснованность увеличения размера арендной платы более чем в 18 раз, в том числе относительно общей рыночной ситуации, изменения кадастровой стоимости и размера арендной платы по договору аренды от 04.03.2008 N 187-Н; по результатам установить наличие (отсутствие) у Компании задолженности по арендной плате за спорные месяцы, а также имелась ли просрочка внесения арендной платы, после чего разрешить спор в соответствии с требованиями норм материального и процессуального права, распределив судебные расходы, в том числе по кассационной жалобе.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Руководствуясь </w:t>
      </w:r>
      <w:hyperlink w:history="0" r:id="rId35" w:tooltip="&quot;Арбитражный процессуальный кодекс Российской Федерации&quot; от 24.07.2002 N 95-ФЗ (ред. от 15.12.2025) (с изм. и доп., вступ. в силу с 01.01.2026) {КонсультантПлюс}">
        <w:r>
          <w:rPr>
            <w:sz w:val="20"/>
            <w:color w:val="0000ff"/>
          </w:rPr>
          <w:t xml:space="preserve">статьями 286</w:t>
        </w:r>
      </w:hyperlink>
      <w:r>
        <w:rPr>
          <w:sz w:val="20"/>
        </w:rPr>
        <w:t xml:space="preserve">, </w:t>
      </w:r>
      <w:hyperlink w:history="0" r:id="rId36" w:tooltip="&quot;Арбитражный процессуальный кодекс Российской Федерации&quot; от 24.07.2002 N 95-ФЗ (ред. от 15.12.2025) (с изм. и доп., вступ. в силу с 01.01.2026) {КонсультантПлюс}">
        <w:r>
          <w:rPr>
            <w:sz w:val="20"/>
            <w:color w:val="0000ff"/>
          </w:rPr>
          <w:t xml:space="preserve">287</w:t>
        </w:r>
      </w:hyperlink>
      <w:r>
        <w:rPr>
          <w:sz w:val="20"/>
        </w:rPr>
        <w:t xml:space="preserve">, </w:t>
      </w:r>
      <w:hyperlink w:history="0" r:id="rId37" w:tooltip="&quot;Арбитражный процессуальный кодекс Российской Федерации&quot; от 24.07.2002 N 95-ФЗ (ред. от 15.12.2025) (с изм. и доп., вступ. в силу с 01.01.2026) {КонсультантПлюс}">
        <w:r>
          <w:rPr>
            <w:sz w:val="20"/>
            <w:color w:val="0000ff"/>
          </w:rPr>
          <w:t xml:space="preserve">288</w:t>
        </w:r>
      </w:hyperlink>
      <w:r>
        <w:rPr>
          <w:sz w:val="20"/>
        </w:rPr>
        <w:t xml:space="preserve">, </w:t>
      </w:r>
      <w:hyperlink w:history="0" r:id="rId38" w:tooltip="&quot;Арбитражный процессуальный кодекс Российской Федерации&quot; от 24.07.2002 N 95-ФЗ (ред. от 15.12.2025) (с изм. и доп., вступ. в силу с 01.01.2026) {КонсультантПлюс}">
        <w:r>
          <w:rPr>
            <w:sz w:val="20"/>
            <w:color w:val="0000ff"/>
          </w:rPr>
          <w:t xml:space="preserve">289</w:t>
        </w:r>
      </w:hyperlink>
      <w:r>
        <w:rPr>
          <w:sz w:val="20"/>
        </w:rPr>
        <w:t xml:space="preserve"> Арбитражного процессуального кодекса Российской Федерации, Арбитражный суд Северо-Западного округа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постановил: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39" w:tooltip="Ссылка на КонсультантПлюс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Арбитражного суда города Санкт-Петербурга и Ленинградской области от 03.10.2025 и </w:t>
      </w:r>
      <w:hyperlink w:history="0" r:id="rId40" w:tooltip="Ссылка на КонсультантПлюс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Тринадцатого арбитражного апелляционного суда от 10.02.2026 по делу N А56-30966/2025 отменить.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Дело передать на новое рассмотрение в Арбитражный суд города Санкт-Петербурга и Ленинградской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Председательствующий</w:t>
      </w:r>
    </w:p>
    <w:p>
      <w:pPr>
        <w:pStyle w:val="0"/>
        <w:jc w:val="right"/>
      </w:pPr>
      <w:r>
        <w:rPr>
          <w:sz w:val="20"/>
        </w:rPr>
        <w:t xml:space="preserve">Ю.С.БАЖЕНОВА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Судьи</w:t>
      </w:r>
    </w:p>
    <w:p>
      <w:pPr>
        <w:pStyle w:val="0"/>
        <w:jc w:val="right"/>
      </w:pPr>
      <w:r>
        <w:rPr>
          <w:sz w:val="20"/>
        </w:rPr>
        <w:t xml:space="preserve">С.С.САЛТЫКОВА</w:t>
      </w:r>
    </w:p>
    <w:p>
      <w:pPr>
        <w:pStyle w:val="0"/>
        <w:jc w:val="right"/>
      </w:pPr>
      <w:r>
        <w:rPr>
          <w:sz w:val="20"/>
        </w:rPr>
        <w:t xml:space="preserve">Т.И.САПОТКИНА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Северо-Западного округа от 24.08.2026 N Ф07-4889/2026 по делу N А56-30966/2025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Северо-Западного округа от 24.08.2026 N Ф07-4889/2026 по делу N А56-30966/2025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ASSZ&amp;n=2935929" TargetMode = "External"/><Relationship Id="rId8" Type="http://schemas.openxmlformats.org/officeDocument/2006/relationships/hyperlink" Target="https://login.consultant.ru/link/?req=doc&amp;base=RAPS013&amp;n=492823" TargetMode = "External"/><Relationship Id="rId9" Type="http://schemas.openxmlformats.org/officeDocument/2006/relationships/hyperlink" Target="https://login.consultant.ru/link/?req=doc&amp;base=RAPS013&amp;n=492823" TargetMode = "External"/><Relationship Id="rId10" Type="http://schemas.openxmlformats.org/officeDocument/2006/relationships/hyperlink" Target="https://login.consultant.ru/link/?req=doc&amp;base=ASSZ&amp;n=2935929" TargetMode = "External"/><Relationship Id="rId11" Type="http://schemas.openxmlformats.org/officeDocument/2006/relationships/hyperlink" Target="https://login.consultant.ru/link/?req=doc&amp;base=ASSZ&amp;n=2935929" TargetMode = "External"/><Relationship Id="rId12" Type="http://schemas.openxmlformats.org/officeDocument/2006/relationships/hyperlink" Target="https://login.consultant.ru/link/?req=doc&amp;base=RAPS013&amp;n=492823" TargetMode = "External"/><Relationship Id="rId13" Type="http://schemas.openxmlformats.org/officeDocument/2006/relationships/hyperlink" Target="https://login.consultant.ru/link/?req=doc&amp;base=LAW&amp;n=499763&amp;dst=100323" TargetMode = "External"/><Relationship Id="rId14" Type="http://schemas.openxmlformats.org/officeDocument/2006/relationships/hyperlink" Target="https://login.consultant.ru/link/?req=doc&amp;base=LAW&amp;n=133590" TargetMode = "External"/><Relationship Id="rId15" Type="http://schemas.openxmlformats.org/officeDocument/2006/relationships/hyperlink" Target="https://login.consultant.ru/link/?req=doc&amp;base=LAW&amp;n=479540" TargetMode = "External"/><Relationship Id="rId16" Type="http://schemas.openxmlformats.org/officeDocument/2006/relationships/hyperlink" Target="https://login.consultant.ru/link/?req=doc&amp;base=LAW&amp;n=508490&amp;dst=10573" TargetMode = "External"/><Relationship Id="rId17" Type="http://schemas.openxmlformats.org/officeDocument/2006/relationships/hyperlink" Target="https://login.consultant.ru/link/?req=doc&amp;base=LAW&amp;n=508490&amp;dst=10573" TargetMode = "External"/><Relationship Id="rId18" Type="http://schemas.openxmlformats.org/officeDocument/2006/relationships/hyperlink" Target="https://login.consultant.ru/link/?req=doc&amp;base=LAW&amp;n=508490&amp;dst=102005" TargetMode = "External"/><Relationship Id="rId19" Type="http://schemas.openxmlformats.org/officeDocument/2006/relationships/hyperlink" Target="https://login.consultant.ru/link/?req=doc&amp;base=LAW&amp;n=508490&amp;dst=102007" TargetMode = "External"/><Relationship Id="rId20" Type="http://schemas.openxmlformats.org/officeDocument/2006/relationships/hyperlink" Target="https://login.consultant.ru/link/?req=doc&amp;base=LAW&amp;n=499763" TargetMode = "External"/><Relationship Id="rId21" Type="http://schemas.openxmlformats.org/officeDocument/2006/relationships/hyperlink" Target="https://login.consultant.ru/link/?req=doc&amp;base=LAW&amp;n=479540" TargetMode = "External"/><Relationship Id="rId22" Type="http://schemas.openxmlformats.org/officeDocument/2006/relationships/hyperlink" Target="https://login.consultant.ru/link/?req=doc&amp;base=LAW&amp;n=133590" TargetMode = "External"/><Relationship Id="rId23" Type="http://schemas.openxmlformats.org/officeDocument/2006/relationships/hyperlink" Target="https://login.consultant.ru/link/?req=doc&amp;base=LAW&amp;n=508506&amp;dst=100709" TargetMode = "External"/><Relationship Id="rId24" Type="http://schemas.openxmlformats.org/officeDocument/2006/relationships/hyperlink" Target="https://login.consultant.ru/link/?req=doc&amp;base=LAW&amp;n=508506&amp;dst=100693" TargetMode = "External"/><Relationship Id="rId25" Type="http://schemas.openxmlformats.org/officeDocument/2006/relationships/hyperlink" Target="https://login.consultant.ru/link/?req=doc&amp;base=LAW&amp;n=508506&amp;dst=100702" TargetMode = "External"/><Relationship Id="rId26" Type="http://schemas.openxmlformats.org/officeDocument/2006/relationships/hyperlink" Target="https://login.consultant.ru/link/?req=doc&amp;base=LAW&amp;n=499763" TargetMode = "External"/><Relationship Id="rId27" Type="http://schemas.openxmlformats.org/officeDocument/2006/relationships/hyperlink" Target="https://login.consultant.ru/link/?req=doc&amp;base=LAW&amp;n=508490&amp;dst=10513" TargetMode = "External"/><Relationship Id="rId28" Type="http://schemas.openxmlformats.org/officeDocument/2006/relationships/hyperlink" Target="https://login.consultant.ru/link/?req=doc&amp;base=LAW&amp;n=508490&amp;dst=102126" TargetMode = "External"/><Relationship Id="rId29" Type="http://schemas.openxmlformats.org/officeDocument/2006/relationships/hyperlink" Target="https://login.consultant.ru/link/?req=doc&amp;base=LAW&amp;n=508490" TargetMode = "External"/><Relationship Id="rId30" Type="http://schemas.openxmlformats.org/officeDocument/2006/relationships/hyperlink" Target="https://login.consultant.ru/link/?req=doc&amp;base=LAW&amp;n=508490&amp;dst=102044" TargetMode = "External"/><Relationship Id="rId31" Type="http://schemas.openxmlformats.org/officeDocument/2006/relationships/hyperlink" Target="https://login.consultant.ru/link/?req=doc&amp;base=LAW&amp;n=508490&amp;dst=102045" TargetMode = "External"/><Relationship Id="rId32" Type="http://schemas.openxmlformats.org/officeDocument/2006/relationships/hyperlink" Target="https://login.consultant.ru/link/?req=doc&amp;base=LAW&amp;n=157919&amp;dst=100089" TargetMode = "External"/><Relationship Id="rId33" Type="http://schemas.openxmlformats.org/officeDocument/2006/relationships/hyperlink" Target="https://login.consultant.ru/link/?req=doc&amp;base=LAW&amp;n=508490&amp;dst=263" TargetMode = "External"/><Relationship Id="rId34" Type="http://schemas.openxmlformats.org/officeDocument/2006/relationships/hyperlink" Target="https://login.consultant.ru/link/?req=doc&amp;base=LAW&amp;n=508506&amp;dst=100702" TargetMode = "External"/><Relationship Id="rId35" Type="http://schemas.openxmlformats.org/officeDocument/2006/relationships/hyperlink" Target="https://login.consultant.ru/link/?req=doc&amp;base=LAW&amp;n=520138&amp;dst=101882" TargetMode = "External"/><Relationship Id="rId36" Type="http://schemas.openxmlformats.org/officeDocument/2006/relationships/hyperlink" Target="https://login.consultant.ru/link/?req=doc&amp;base=LAW&amp;n=520138&amp;dst=101886" TargetMode = "External"/><Relationship Id="rId37" Type="http://schemas.openxmlformats.org/officeDocument/2006/relationships/hyperlink" Target="https://login.consultant.ru/link/?req=doc&amp;base=LAW&amp;n=520138&amp;dst=1084" TargetMode = "External"/><Relationship Id="rId38" Type="http://schemas.openxmlformats.org/officeDocument/2006/relationships/hyperlink" Target="https://login.consultant.ru/link/?req=doc&amp;base=LAW&amp;n=520138&amp;dst=101910" TargetMode = "External"/><Relationship Id="rId39" Type="http://schemas.openxmlformats.org/officeDocument/2006/relationships/hyperlink" Target="https://login.consultant.ru/link/?req=doc&amp;base=ASSZ&amp;n=2935929" TargetMode = "External"/><Relationship Id="rId40" Type="http://schemas.openxmlformats.org/officeDocument/2006/relationships/hyperlink" Target="https://login.consultant.ru/link/?req=doc&amp;base=RAPS013&amp;n=49282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Арбитражного суда Северо-Западного округа от 24.08.2026 N Ф07-4889/2026 по делу N А56-30966/2025
Требование: О взыскании задолженности по договору субаренды части земельного участка и неустойки.
Обстоятельства: Арендодатель уведомил об увеличении арендной платы по договору в связи с изменением вида разрешенного использования участка, его кадастровой стоимости; арендная плата в увеличенном размере арендатором не была внесена.
Решение: Дело передано на новое рассмотрение, при котором необходимо </dc:title>
  <dcterms:created xsi:type="dcterms:W3CDTF">2026-09-06T18:18:59Z</dcterms:created>
</cp:coreProperties>
</file>