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ind w:firstLine="540"/>
        <w:jc w:val="both"/>
      </w:pPr>
      <w:r>
        <w:rPr>
          <w:sz w:val="20"/>
        </w:rPr>
      </w:r>
    </w:p>
    <w:p>
      <w:pPr>
        <w:pStyle w:val="2"/>
        <w:jc w:val="center"/>
      </w:pPr>
      <w:r>
        <w:rPr>
          <w:sz w:val="20"/>
        </w:rPr>
        <w:t xml:space="preserve">АРБИТРАЖНЫЙ СУД МОСКОВСКОГО ОКРУГА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 августа 2026 г. по делу N А40-144073/2024</w:t>
      </w:r>
    </w:p>
    <w:p>
      <w:pPr>
        <w:pStyle w:val="0"/>
        <w:ind w:firstLine="540"/>
        <w:jc w:val="both"/>
      </w:pPr>
      <w:r>
        <w:rPr>
          <w:sz w:val="20"/>
        </w:rPr>
      </w:r>
    </w:p>
    <w:p>
      <w:pPr>
        <w:pStyle w:val="0"/>
        <w:ind w:firstLine="540"/>
        <w:jc w:val="both"/>
      </w:pPr>
      <w:r>
        <w:rPr>
          <w:sz w:val="20"/>
        </w:rPr>
        <w:t xml:space="preserve">Резолютивная часть постановления объявлена 20.07.2026</w:t>
      </w:r>
    </w:p>
    <w:p>
      <w:pPr>
        <w:pStyle w:val="0"/>
        <w:spacing w:before="200" w:lineRule="auto"/>
        <w:ind w:firstLine="540"/>
        <w:jc w:val="both"/>
      </w:pPr>
      <w:r>
        <w:rPr>
          <w:sz w:val="20"/>
        </w:rPr>
        <w:t xml:space="preserve">Полный текст постановления изготовлен 03.08.2026</w:t>
      </w:r>
    </w:p>
    <w:p>
      <w:pPr>
        <w:pStyle w:val="0"/>
        <w:spacing w:before="200" w:lineRule="auto"/>
        <w:ind w:firstLine="540"/>
        <w:jc w:val="both"/>
      </w:pPr>
      <w:r>
        <w:rPr>
          <w:sz w:val="20"/>
        </w:rPr>
        <w:t xml:space="preserve">Арбитражный суд Московского округа</w:t>
      </w:r>
    </w:p>
    <w:p>
      <w:pPr>
        <w:pStyle w:val="0"/>
        <w:spacing w:before="200" w:lineRule="auto"/>
        <w:ind w:firstLine="540"/>
        <w:jc w:val="both"/>
      </w:pPr>
      <w:r>
        <w:rPr>
          <w:sz w:val="20"/>
        </w:rPr>
        <w:t xml:space="preserve">в составе: председательствующего-судьи Федуловой Л.В.,</w:t>
      </w:r>
    </w:p>
    <w:p>
      <w:pPr>
        <w:pStyle w:val="0"/>
        <w:spacing w:before="200" w:lineRule="auto"/>
        <w:ind w:firstLine="540"/>
        <w:jc w:val="both"/>
      </w:pPr>
      <w:r>
        <w:rPr>
          <w:sz w:val="20"/>
        </w:rPr>
        <w:t xml:space="preserve">судей Аталиковой З.А., Ярцева Д.Г.,</w:t>
      </w:r>
    </w:p>
    <w:p>
      <w:pPr>
        <w:pStyle w:val="0"/>
        <w:spacing w:before="200" w:lineRule="auto"/>
        <w:ind w:firstLine="540"/>
        <w:jc w:val="both"/>
      </w:pPr>
      <w:r>
        <w:rPr>
          <w:sz w:val="20"/>
        </w:rPr>
        <w:t xml:space="preserve">при участии в судебном заседании:</w:t>
      </w:r>
    </w:p>
    <w:p>
      <w:pPr>
        <w:pStyle w:val="0"/>
        <w:spacing w:before="200" w:lineRule="auto"/>
        <w:ind w:firstLine="540"/>
        <w:jc w:val="both"/>
      </w:pPr>
      <w:r>
        <w:rPr>
          <w:sz w:val="20"/>
        </w:rPr>
        <w:t xml:space="preserve">от Департамента городского имущества города Москвы - Данилова Э.Ю. (доверенность от 01.12.2025);</w:t>
      </w:r>
    </w:p>
    <w:p>
      <w:pPr>
        <w:pStyle w:val="0"/>
        <w:spacing w:before="200" w:lineRule="auto"/>
        <w:ind w:firstLine="540"/>
        <w:jc w:val="both"/>
      </w:pPr>
      <w:r>
        <w:rPr>
          <w:sz w:val="20"/>
        </w:rPr>
        <w:t xml:space="preserve">от общества с ограниченной ответственностью "Ерино Эстейт" - Кривошеин Б.В. (доверенность от 04.07.2024);</w:t>
      </w:r>
    </w:p>
    <w:p>
      <w:pPr>
        <w:pStyle w:val="0"/>
        <w:spacing w:before="200" w:lineRule="auto"/>
        <w:ind w:firstLine="540"/>
        <w:jc w:val="both"/>
      </w:pPr>
      <w:r>
        <w:rPr>
          <w:sz w:val="20"/>
        </w:rPr>
        <w:t xml:space="preserve">от Государственной инспекции по контролю за использованием объектов недвижимости города Москвы - не явился, извещен;</w:t>
      </w:r>
    </w:p>
    <w:p>
      <w:pPr>
        <w:pStyle w:val="0"/>
        <w:spacing w:before="200" w:lineRule="auto"/>
        <w:ind w:firstLine="540"/>
        <w:jc w:val="both"/>
      </w:pPr>
      <w:r>
        <w:rPr>
          <w:sz w:val="20"/>
        </w:rPr>
        <w:t xml:space="preserve">рассмотрев в судебном заседании кассационную жалобу общества с ограниченной ответственностью "Ерино Эстейт"</w:t>
      </w:r>
    </w:p>
    <w:p>
      <w:pPr>
        <w:pStyle w:val="0"/>
        <w:spacing w:before="200" w:lineRule="auto"/>
        <w:ind w:firstLine="540"/>
        <w:jc w:val="both"/>
      </w:pPr>
      <w:r>
        <w:rPr>
          <w:sz w:val="20"/>
        </w:rPr>
        <w:t xml:space="preserve">на </w:t>
      </w:r>
      <w:hyperlink w:history="0" r:id="rId7"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постановление</w:t>
        </w:r>
      </w:hyperlink>
      <w:r>
        <w:rPr>
          <w:sz w:val="20"/>
        </w:rPr>
        <w:t xml:space="preserve"> Девятого арбитражного апелляционного суда от 17.12.2025 по делу N А40-144073/2024</w:t>
      </w:r>
    </w:p>
    <w:p>
      <w:pPr>
        <w:pStyle w:val="0"/>
        <w:spacing w:before="200" w:lineRule="auto"/>
        <w:ind w:firstLine="540"/>
        <w:jc w:val="both"/>
      </w:pPr>
      <w:r>
        <w:rPr>
          <w:sz w:val="20"/>
        </w:rPr>
        <w:t xml:space="preserve">по иску Департамента городского имущества города Москвы к обществу с ограниченной ответственностью "Ерино Эстейт",</w:t>
      </w:r>
    </w:p>
    <w:p>
      <w:pPr>
        <w:pStyle w:val="0"/>
        <w:spacing w:before="200" w:lineRule="auto"/>
        <w:ind w:firstLine="540"/>
        <w:jc w:val="both"/>
      </w:pPr>
      <w:r>
        <w:rPr>
          <w:sz w:val="20"/>
        </w:rPr>
        <w:t xml:space="preserve">третье лицо: Государственная инспекция по контролю за использованием объектов недвижимости города Москвы,</w:t>
      </w:r>
    </w:p>
    <w:p>
      <w:pPr>
        <w:pStyle w:val="0"/>
        <w:spacing w:before="200" w:lineRule="auto"/>
        <w:ind w:firstLine="540"/>
        <w:jc w:val="both"/>
      </w:pPr>
      <w:r>
        <w:rPr>
          <w:sz w:val="20"/>
        </w:rPr>
        <w:t xml:space="preserve">об устранении угрозы,</w:t>
      </w:r>
    </w:p>
    <w:p>
      <w:pPr>
        <w:pStyle w:val="0"/>
        <w:jc w:val="center"/>
      </w:pPr>
      <w:r>
        <w:rPr>
          <w:sz w:val="20"/>
        </w:rPr>
      </w:r>
    </w:p>
    <w:p>
      <w:pPr>
        <w:pStyle w:val="0"/>
        <w:jc w:val="center"/>
      </w:pPr>
      <w:r>
        <w:rPr>
          <w:sz w:val="20"/>
        </w:rPr>
        <w:t xml:space="preserve">установил:</w:t>
      </w:r>
    </w:p>
    <w:p>
      <w:pPr>
        <w:pStyle w:val="0"/>
        <w:jc w:val="center"/>
      </w:pPr>
      <w:r>
        <w:rPr>
          <w:sz w:val="20"/>
        </w:rPr>
      </w:r>
    </w:p>
    <w:p>
      <w:pPr>
        <w:pStyle w:val="0"/>
        <w:ind w:firstLine="540"/>
        <w:jc w:val="both"/>
      </w:pPr>
      <w:r>
        <w:rPr>
          <w:sz w:val="20"/>
        </w:rPr>
        <w:t xml:space="preserve">Департамент городского имущества города Москвы (далее - истец) обратился в Арбитражный суд города Москвы с иском к ООО "Ерино Эстейт" (далее - ответчик) о возложении обязанности по устранению угрозы жизни и здоровью неопределенного круга лиц в связи с аварийным состоянием нежилых зданий, принадлежащих на праве собственности ответчику:</w:t>
      </w:r>
    </w:p>
    <w:p>
      <w:pPr>
        <w:pStyle w:val="0"/>
        <w:spacing w:before="200" w:lineRule="auto"/>
        <w:ind w:firstLine="540"/>
        <w:jc w:val="both"/>
      </w:pPr>
      <w:r>
        <w:rPr>
          <w:sz w:val="20"/>
        </w:rPr>
        <w:t xml:space="preserve">- одноэтажное здание (котельная) площадью 256,6 кв. м с кадастровым номером 77:20:0020441:832 по адресу: г. Москва, пос. Рязановское, квартал 145, дом 5А, стр. 4 (без координат границ), запись в ЕГРН от 09.04.2021 N 77:20:0020441:832-77/072/2021-3;</w:t>
      </w:r>
    </w:p>
    <w:p>
      <w:pPr>
        <w:pStyle w:val="0"/>
        <w:spacing w:before="200" w:lineRule="auto"/>
        <w:ind w:firstLine="540"/>
        <w:jc w:val="both"/>
      </w:pPr>
      <w:r>
        <w:rPr>
          <w:sz w:val="20"/>
        </w:rPr>
        <w:t xml:space="preserve">- одноэтажное здание (артезианская скважина) площадью 7,4 кв. м с кадастровым номером 77:20:0020441:857 по адресу: г. Москва, пос. Рязановское, квартал 145, дом 5А, стр. 2 (без координат границ), запись в ЕГРН от 09.04.2021 N 77:20:0020441:857-77/072/2021-3;</w:t>
      </w:r>
    </w:p>
    <w:p>
      <w:pPr>
        <w:pStyle w:val="0"/>
        <w:spacing w:before="200" w:lineRule="auto"/>
        <w:ind w:firstLine="540"/>
        <w:jc w:val="both"/>
      </w:pPr>
      <w:r>
        <w:rPr>
          <w:sz w:val="20"/>
        </w:rPr>
        <w:t xml:space="preserve">- здание (водонапорная башня) площадью 2 кв. м с кадастровым номером 77:20:0020441:778 по адресу: г. Москва, пос. Рязановское, квартал 145, дом 5А, стр. 1 (без координат границ), запись в ЕГРН от 09.04.2021 N 77:20:0020441:778-77/072/2021-3, путем осуществления восстановительных работ либо сноса в течение 2 месяцев с момента вступления решения суда в законную силу.</w:t>
      </w:r>
    </w:p>
    <w:p>
      <w:pPr>
        <w:pStyle w:val="0"/>
        <w:spacing w:before="200" w:lineRule="auto"/>
        <w:ind w:firstLine="540"/>
        <w:jc w:val="both"/>
      </w:pPr>
      <w:r>
        <w:rPr>
          <w:sz w:val="20"/>
        </w:rPr>
        <w:t xml:space="preserve">В случае неисполнения ООО "Ерино Эстейт" обязанности по устранению угрозы жизни и здоровью неопределенного круга лиц в связи с аварийным состоянием нежилых зданий в указанный судом срок предоставить право Правительству Москвы в лице Государственной инспекции по контролю за использованием объектов недвижимости города Москвы осуществить мероприятия по освобождению земельного участка от указанных зданий, а также обеспечить благоустройство освобожденной территории с возложением расходов по сносу на ООО "Ерино Эстейт".</w:t>
      </w:r>
    </w:p>
    <w:p>
      <w:pPr>
        <w:pStyle w:val="0"/>
        <w:spacing w:before="200" w:lineRule="auto"/>
        <w:ind w:firstLine="540"/>
        <w:jc w:val="both"/>
      </w:pPr>
      <w:r>
        <w:rPr>
          <w:sz w:val="20"/>
        </w:rPr>
        <w:t xml:space="preserve">Также истец просил обязать ООО "Ерино Эстейт" провести мероприятия по снятию нежилых зданий с государственного кадастрового учета в случае их сноса и по прекращению права собственности ООО "Ерино Эстейт" на нежилые здания.</w:t>
      </w:r>
    </w:p>
    <w:p>
      <w:pPr>
        <w:pStyle w:val="0"/>
        <w:spacing w:before="200" w:lineRule="auto"/>
        <w:ind w:firstLine="540"/>
        <w:jc w:val="both"/>
      </w:pPr>
      <w:r>
        <w:rPr>
          <w:sz w:val="20"/>
        </w:rPr>
        <w:t xml:space="preserve">В случае неисполнения решения суда в установленный срок, взыскать с ООО "Ерино Эстейт" в пользу Департамента судебную неустойку в размере 10 000 рублей за каждый день неисполнения судебного акта, начиная со дня, следующего за днем окончания срока, установленного судом для устранения угрозы жизни и здоровью неопределенного круга лиц, и до его фактического исполнения, с условием ежемесячного увеличения суммы судебной неустойки в два раза, начиная с четвертого месяца с момента наступления исполнения решения суда.</w:t>
      </w:r>
    </w:p>
    <w:p>
      <w:pPr>
        <w:pStyle w:val="0"/>
        <w:spacing w:before="200" w:lineRule="auto"/>
        <w:ind w:firstLine="540"/>
        <w:jc w:val="both"/>
      </w:pPr>
      <w:r>
        <w:rPr>
          <w:sz w:val="20"/>
        </w:rPr>
        <w:t xml:space="preserve">К участию в деле в качестве третьего лица, не заявляющего самостоятельных требований относительно предмета спора, привлечена Государственная инспекция по контролю за использованием объектов недвижимости города Москвы.</w:t>
      </w:r>
    </w:p>
    <w:p>
      <w:pPr>
        <w:pStyle w:val="0"/>
        <w:spacing w:before="200" w:lineRule="auto"/>
        <w:ind w:firstLine="540"/>
        <w:jc w:val="both"/>
      </w:pPr>
      <w:r>
        <w:rPr>
          <w:sz w:val="20"/>
        </w:rPr>
        <w:t xml:space="preserve">Решением Арбитражного суда города Москвы от 05.11.2026 на ООО "Ерино Эстейт" возложена обязанность по устранению угрозы жизни и здоровью неопределенного круга лиц в связи с аварийным состоянием нежилых зданий, принадлежащих на праве собственности ответчику, путем обеспечения невозможности доступа к указанным объектам неопределенного круга лиц, а именно: обеспечить благоустройство земельного участка с кадастровым номером 77:20:0020441:51 площадью 10476 кв. м путем вывоза с территории бытового и строительного мусора, ограждение забором одноэтажного здания (котельная) площадью 256, 6 кв. м с кадастровым номером 77:20:0020441:832, одноэтажного здания (артезианская скважина) площадью 7,4 кв. м с кадастровым номером 77:20:0020441:857, здания (водонапорная башня) площадью 2 кв. м с кадастровым номером 77:20:0020441:778, перекрытие оконных проемов, дверных проемов в указанных объектах и обеспечением охраны, предоставив в случае неисполнения решения суда в указанный судом срок согласно </w:t>
      </w:r>
      <w:hyperlink w:history="0" r:id="rId8"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части 3 статьи 174</w:t>
        </w:r>
      </w:hyperlink>
      <w:r>
        <w:rPr>
          <w:sz w:val="20"/>
        </w:rPr>
        <w:t xml:space="preserve"> Арбитражного процессуального кодекса Российской Федерации (далее - АПК РФ) право Правительству Москвы в лице Госинспекции по недвижимости осуществить указанные мероприятия с возложением соответствующих расходов на общество. Срок для исполнения решения суда установлен в течение месяца с момента вступления в законную силу решения суда. В случае неисполнения решения суда в установленный срок, взыскать с ООО "Ерино Эстейт" в пользу Департамента судебную неустойку в размере 10 000 рублей за каждый день неисполнения судебного акта, начиная со дня, следующего за днем окончания срока, установленного судом для устранения угрозы жизни и здоровью неопределенного круга лиц, и до его фактического исполнения, с условием ежемесячного увеличения суммы судебной неустойки в два раза, начиная с четвертого месяца с момента наступления исполнения решения суда.</w:t>
      </w:r>
    </w:p>
    <w:p>
      <w:pPr>
        <w:pStyle w:val="0"/>
        <w:spacing w:before="200" w:lineRule="auto"/>
        <w:ind w:firstLine="540"/>
        <w:jc w:val="both"/>
      </w:pPr>
      <w:hyperlink w:history="0" r:id="rId9"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Постановлением</w:t>
        </w:r>
      </w:hyperlink>
      <w:r>
        <w:rPr>
          <w:sz w:val="20"/>
        </w:rPr>
        <w:t xml:space="preserve"> Девятого арбитражного апелляционного суда от 17.12.2025 </w:t>
      </w:r>
      <w:hyperlink w:history="0" r:id="rId10" w:tooltip="Ссылка на КонсультантПлюс">
        <w:r>
          <w:rPr>
            <w:sz w:val="20"/>
            <w:color w:val="0000ff"/>
          </w:rPr>
          <w:t xml:space="preserve">решение</w:t>
        </w:r>
      </w:hyperlink>
      <w:r>
        <w:rPr>
          <w:sz w:val="20"/>
        </w:rPr>
        <w:t xml:space="preserve"> Арбитражного суда города Москвы от 05.11.2024 изменено, суд возложил на ООО "Ерино Эстейт" обязанность по устранению угрозы жизни и здоровью неопределенного круга лиц в связи с аварийным состоянием нежилых зданий, принадлежащих на праве собственности ответчику,</w:t>
      </w:r>
    </w:p>
    <w:p>
      <w:pPr>
        <w:pStyle w:val="0"/>
        <w:spacing w:before="200" w:lineRule="auto"/>
        <w:ind w:firstLine="540"/>
        <w:jc w:val="both"/>
      </w:pPr>
      <w:r>
        <w:rPr>
          <w:sz w:val="20"/>
        </w:rPr>
        <w:t xml:space="preserve">- посредством капитального ремонта с заменой несущих конструкций нежилых зданий, в которых необходимо выполнить следующие основные мероприятия: укрепление грунтов оснований, усиление контактной зоны "фундамент-грунт"; усиление тела фундамента, пересадка на сваи, пересадка на плиту, консервация деревянных лежней, устройство противокапиллярной гидроизоляции, гидроизоляционных кессонов; усиление колонн и ригелей каркаса металлическими и железобетонными обоймами, шпренгелями, усиление консолей и опорных узлов, проведение дополнительных опор; усиление простенков, устройство металлических, железобетонных и штукатурных обойм, лент, тяжей, монолитных поясов, инъектирование трещин, переустройство проемов, перекладка ветхих участков кирпичной кладки, не связанные с надстройкой здания или дополнительными нагрузками от вновь устанавливаемого оборудования, утепление стен, устройство фасадных систем, крепление стеновых панелей; замена отдельных конструктивных элементов перекрытий, покрытий на аналогичные или с улучшенными характеристиками, усиление ригелей, балок, ферм, арок, плит, мероприятия по тепло- и звукоизоляции; устройство дополнительных несущих конструкций;</w:t>
      </w:r>
    </w:p>
    <w:p>
      <w:pPr>
        <w:pStyle w:val="0"/>
        <w:spacing w:before="200" w:lineRule="auto"/>
        <w:ind w:firstLine="540"/>
        <w:jc w:val="both"/>
      </w:pPr>
      <w:r>
        <w:rPr>
          <w:sz w:val="20"/>
        </w:rPr>
        <w:t xml:space="preserve">- посредством демонтажа (сноса) нежилых зданий, необходимо выполнить следующие основные мероприятия: разработка проекта демонтажных работ; получение необходимых согласований и разрешений на проведение указанных работ; проведение работ силами специализированных строительных организаций с разработкой проектов производства работ, предоставив в случае неисполнения решения суда в указанный судом срок согласно </w:t>
      </w:r>
      <w:hyperlink w:history="0" r:id="rId11"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части 3 статьи 174</w:t>
        </w:r>
      </w:hyperlink>
      <w:r>
        <w:rPr>
          <w:sz w:val="20"/>
        </w:rPr>
        <w:t xml:space="preserve"> АПК РФ право Правительству Москвы в лице Госинспекции по недвижимости осуществить указанные мероприятия с возложением соответствующих расходов на ООО "Ерино Эстейт".</w:t>
      </w:r>
    </w:p>
    <w:p>
      <w:pPr>
        <w:pStyle w:val="0"/>
        <w:spacing w:before="200" w:lineRule="auto"/>
        <w:ind w:firstLine="540"/>
        <w:jc w:val="both"/>
      </w:pPr>
      <w:r>
        <w:rPr>
          <w:sz w:val="20"/>
        </w:rPr>
        <w:t xml:space="preserve">Срок для исполнения решения суда установлен в течение двух месяцев с момента вступления в законную силу решения суда. В случае неисполнения решения суда в установленный срок взыскать с ООО "Ерино Эстейт" в пользу Департамента судебную неустойку в размере 10 000 рублей за каждый день неисполнения судебного акта, начиная со дня, следующего за днем окончания срока, установленного судом для устранения угрозы жизни и здоровью неопределенного круга лиц, и до его фактического исполнения, с условием ежемесячного увеличения суммы судебной неустойки в два раза, начиная с четвертого месяца с момента наступления исполнения решения суда. В удовлетворении остальной части иска отказано.</w:t>
      </w:r>
    </w:p>
    <w:p>
      <w:pPr>
        <w:pStyle w:val="0"/>
        <w:spacing w:before="200" w:lineRule="auto"/>
        <w:ind w:firstLine="540"/>
        <w:jc w:val="both"/>
      </w:pPr>
      <w:r>
        <w:rPr>
          <w:sz w:val="20"/>
        </w:rPr>
        <w:t xml:space="preserve">Не согласившись с вынесенным </w:t>
      </w:r>
      <w:hyperlink w:history="0" r:id="rId12"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судебным актом</w:t>
        </w:r>
      </w:hyperlink>
      <w:r>
        <w:rPr>
          <w:sz w:val="20"/>
        </w:rPr>
        <w:t xml:space="preserve">, общество обратилось в Арбитражный суд Московского округа с кассационной жалобой, в которой просит </w:t>
      </w:r>
      <w:hyperlink w:history="0" r:id="rId13"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постановление</w:t>
        </w:r>
      </w:hyperlink>
      <w:r>
        <w:rPr>
          <w:sz w:val="20"/>
        </w:rPr>
        <w:t xml:space="preserve"> отменить, оставить в силе решение суда первой инстанции. Заявитель в кассационной жалобе ссылается на несоответствие выводов суда фактическим обстоятельствам дела, нарушение норм материального и процессуального права.</w:t>
      </w:r>
    </w:p>
    <w:p>
      <w:pPr>
        <w:pStyle w:val="0"/>
        <w:spacing w:before="200" w:lineRule="auto"/>
        <w:ind w:firstLine="540"/>
        <w:jc w:val="both"/>
      </w:pPr>
      <w:r>
        <w:rPr>
          <w:sz w:val="20"/>
        </w:rPr>
        <w:t xml:space="preserve">В соответствии с </w:t>
      </w:r>
      <w:hyperlink w:history="0" r:id="rId14"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абзацем 2 части 1 статьи 121</w:t>
        </w:r>
      </w:hyperlink>
      <w:r>
        <w:rPr>
          <w:sz w:val="20"/>
        </w:rPr>
        <w:t xml:space="preserve"> Арбитражного процессуального кодекса Российской Федерации (далее - АПК РФ) информация о времени и месте судебного заседания опубликована на официальном интернет-сайте </w:t>
      </w:r>
      <w:hyperlink w:history="0" r:id="rId15">
        <w:r>
          <w:rPr>
            <w:sz w:val="20"/>
            <w:color w:val="0000ff"/>
          </w:rPr>
          <w:t xml:space="preserve">http://kad.arbitr.ru</w:t>
        </w:r>
      </w:hyperlink>
      <w:r>
        <w:rPr>
          <w:sz w:val="20"/>
        </w:rPr>
        <w:t xml:space="preserve">.</w:t>
      </w:r>
    </w:p>
    <w:p>
      <w:pPr>
        <w:pStyle w:val="0"/>
        <w:spacing w:before="200" w:lineRule="auto"/>
        <w:ind w:firstLine="540"/>
        <w:jc w:val="both"/>
      </w:pPr>
      <w:r>
        <w:rPr>
          <w:sz w:val="20"/>
        </w:rPr>
        <w:t xml:space="preserve">До рассмотрения жалобы по существу в Арбитражный суд Московского округа от Департамента поступил отзыв на кассационную жалобу, который приобщен к материалам дела в соответствии со </w:t>
      </w:r>
      <w:hyperlink w:history="0" r:id="rId16"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статьей 279</w:t>
        </w:r>
      </w:hyperlink>
      <w:r>
        <w:rPr>
          <w:sz w:val="20"/>
        </w:rPr>
        <w:t xml:space="preserve"> АПК РФ.</w:t>
      </w:r>
    </w:p>
    <w:p>
      <w:pPr>
        <w:pStyle w:val="0"/>
        <w:spacing w:before="200" w:lineRule="auto"/>
        <w:ind w:firstLine="540"/>
        <w:jc w:val="both"/>
      </w:pPr>
      <w:r>
        <w:rPr>
          <w:sz w:val="20"/>
        </w:rPr>
        <w:t xml:space="preserve">В судебном заседании суда кассационной инстанции представитель заявителя жалобы поддержал доводы кассационной жалобы, представитель Департамента возражал против удовлетворения жалобы.</w:t>
      </w:r>
    </w:p>
    <w:p>
      <w:pPr>
        <w:pStyle w:val="0"/>
        <w:spacing w:before="200" w:lineRule="auto"/>
        <w:ind w:firstLine="540"/>
        <w:jc w:val="both"/>
      </w:pPr>
      <w:r>
        <w:rPr>
          <w:sz w:val="20"/>
        </w:rPr>
        <w:t xml:space="preserve">Иные лица, участвующие в деле, надлежащим образом извещенные о времени и месте рассмотрения кассационной жалобы, своих представителей в суд не направили, что, в силу </w:t>
      </w:r>
      <w:hyperlink w:history="0" r:id="rId17"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части 3 статьи 284</w:t>
        </w:r>
      </w:hyperlink>
      <w:r>
        <w:rPr>
          <w:sz w:val="20"/>
        </w:rPr>
        <w:t xml:space="preserve"> АПК РФ, не препятствует рассмотрению кассационной жалобы в их отсутствие.</w:t>
      </w:r>
    </w:p>
    <w:p>
      <w:pPr>
        <w:pStyle w:val="0"/>
        <w:spacing w:before="200" w:lineRule="auto"/>
        <w:ind w:firstLine="540"/>
        <w:jc w:val="both"/>
      </w:pPr>
      <w:r>
        <w:rPr>
          <w:sz w:val="20"/>
        </w:rPr>
        <w:t xml:space="preserve">Изучив доводы кассационной жалобы, заслушав представителей сторон, проверив в порядке </w:t>
      </w:r>
      <w:hyperlink w:history="0" r:id="rId18"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статей 284</w:t>
        </w:r>
      </w:hyperlink>
      <w:r>
        <w:rPr>
          <w:sz w:val="20"/>
        </w:rPr>
        <w:t xml:space="preserve">, </w:t>
      </w:r>
      <w:hyperlink w:history="0" r:id="rId19"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286</w:t>
        </w:r>
      </w:hyperlink>
      <w:r>
        <w:rPr>
          <w:sz w:val="20"/>
        </w:rPr>
        <w:t xml:space="preserve">, </w:t>
      </w:r>
      <w:hyperlink w:history="0" r:id="rId20"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287</w:t>
        </w:r>
      </w:hyperlink>
      <w:r>
        <w:rPr>
          <w:sz w:val="20"/>
        </w:rPr>
        <w:t xml:space="preserve"> АПК РФ правильность применения судом норм материального права и соблюдение норм процессуального права при принятии обжалуемого </w:t>
      </w:r>
      <w:hyperlink w:history="0" r:id="rId21"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судебного акта</w:t>
        </w:r>
      </w:hyperlink>
      <w:r>
        <w:rPr>
          <w:sz w:val="20"/>
        </w:rPr>
        <w:t xml:space="preserve">, суд кассационной инстанции приходит к следующим выводам.</w:t>
      </w:r>
    </w:p>
    <w:p>
      <w:pPr>
        <w:pStyle w:val="0"/>
        <w:spacing w:before="200" w:lineRule="auto"/>
        <w:ind w:firstLine="540"/>
        <w:jc w:val="both"/>
      </w:pPr>
      <w:r>
        <w:rPr>
          <w:sz w:val="20"/>
        </w:rPr>
        <w:t xml:space="preserve">Как следует из материалов дела и установлено судами, земельный участок по адресу: г. Москва, поселение Рязановское, квартал 145 земельный участок 5А (д. Ерино, ул. Прудная), площадью 10 476 кв. м с кадастровым номером 77:20:0020441:51 принадлежит на праве собственности ООО "Ерино Эстейт".</w:t>
      </w:r>
    </w:p>
    <w:p>
      <w:pPr>
        <w:pStyle w:val="0"/>
        <w:spacing w:before="200" w:lineRule="auto"/>
        <w:ind w:firstLine="540"/>
        <w:jc w:val="both"/>
      </w:pPr>
      <w:r>
        <w:rPr>
          <w:sz w:val="20"/>
        </w:rPr>
        <w:t xml:space="preserve">На указанном земельном участке расположены объекты недвижимости, находящиеся в собственности ответчика:</w:t>
      </w:r>
    </w:p>
    <w:p>
      <w:pPr>
        <w:pStyle w:val="0"/>
        <w:spacing w:before="200" w:lineRule="auto"/>
        <w:ind w:firstLine="540"/>
        <w:jc w:val="both"/>
      </w:pPr>
      <w:r>
        <w:rPr>
          <w:sz w:val="20"/>
        </w:rPr>
        <w:t xml:space="preserve">- одноэтажное здание (котельная) площадью 256, 6 кв. м с кадастровым номером 77:20:0020441:832 по адресу: г. Москва, пос. Рязановское, квартал 145, дом 5А, стр. 4 (без координат границ), далее - объект 1;</w:t>
      </w:r>
    </w:p>
    <w:p>
      <w:pPr>
        <w:pStyle w:val="0"/>
        <w:spacing w:before="200" w:lineRule="auto"/>
        <w:ind w:firstLine="540"/>
        <w:jc w:val="both"/>
      </w:pPr>
      <w:r>
        <w:rPr>
          <w:sz w:val="20"/>
        </w:rPr>
        <w:t xml:space="preserve">- одноэтажное здание (артезианская скважина) площадью 7,4 кв. м с кадастровым номером 77:20:0020441:857 по адресу: г. Москва, пос. Рязановское, квартал 145, дом 5А, стр. 2 (без координат границ), далее - объект 2;</w:t>
      </w:r>
    </w:p>
    <w:p>
      <w:pPr>
        <w:pStyle w:val="0"/>
        <w:spacing w:before="200" w:lineRule="auto"/>
        <w:ind w:firstLine="540"/>
        <w:jc w:val="both"/>
      </w:pPr>
      <w:r>
        <w:rPr>
          <w:sz w:val="20"/>
        </w:rPr>
        <w:t xml:space="preserve">- здание (водонапорная башня) площадью 2 кв. м с кадастровым номером 77:20:0020441:778 по адресу: г. Москва, пос. Рязановское, квартал 145, дом 5А, стр. 1 (без координат границ), далее - объект 3.</w:t>
      </w:r>
    </w:p>
    <w:p>
      <w:pPr>
        <w:pStyle w:val="0"/>
        <w:spacing w:before="200" w:lineRule="auto"/>
        <w:ind w:firstLine="540"/>
        <w:jc w:val="both"/>
      </w:pPr>
      <w:r>
        <w:rPr>
          <w:sz w:val="20"/>
        </w:rPr>
        <w:t xml:space="preserve">Из акта обследования земельного участка от 06.03.2024 N 9118245 следует, что у объектов 1, 2 частично отсутствует кровля, имеются трещины и выпадение несущих конструкций зданий. У объекта 1 отсутствуют створки и остекление на окнах, входная группа разрушена. Внутри объектов 1, 2 расположены обломки строительного материала в виде искусственного камня, изготовленного из пластичной минеральной смеси (кирпичи). Прилегающая территория захламлена бытовым и строительным мусором. Объекты 1, 2, 3 не эксплуатируются, находятся в неудовлетворительном состоянии. Земельный участок не огорожен, не охраняется, доступ свободный. Таким образом, объекты 1-3 обладают признаками угрозы жизни и здоровью граждан. Здание не соответствует требованиям </w:t>
      </w:r>
      <w:hyperlink w:history="0" r:id="rId22"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части 6 статьи 3</w:t>
        </w:r>
      </w:hyperlink>
      <w:r>
        <w:rPr>
          <w:sz w:val="20"/>
        </w:rPr>
        <w:t xml:space="preserve">, </w:t>
      </w:r>
      <w:hyperlink w:history="0" r:id="rId23"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статьям 7</w:t>
        </w:r>
      </w:hyperlink>
      <w:r>
        <w:rPr>
          <w:sz w:val="20"/>
        </w:rPr>
        <w:t xml:space="preserve"> и </w:t>
      </w:r>
      <w:hyperlink w:history="0" r:id="rId24"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37</w:t>
        </w:r>
      </w:hyperlink>
      <w:r>
        <w:rPr>
          <w:sz w:val="20"/>
        </w:rPr>
        <w:t xml:space="preserve"> Федерального закона от 30.12.2009 N 384-ФЗ "Технический регламент о безопасности зданий и сооружений" в части механической безопасности - состояния строительных конструкций и основания здания или сооружения,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 здоровью животных и растений вследствие разрушения или потери устойчивости здания, сооружения или их части.</w:t>
      </w:r>
    </w:p>
    <w:p>
      <w:pPr>
        <w:pStyle w:val="0"/>
        <w:spacing w:before="200" w:lineRule="auto"/>
        <w:ind w:firstLine="540"/>
        <w:jc w:val="both"/>
      </w:pPr>
      <w:r>
        <w:rPr>
          <w:sz w:val="20"/>
        </w:rPr>
        <w:t xml:space="preserve">Поскольку ответчик не принимает действий по восстановлению разрушенных объектов, устранению захламления, объекты 1-3 могут создавать угрозу жизни и здоровью неопределенного круга лиц, полагая, что устранить опасность причинения вреда жизни и здоровью граждан возможно путем проведения восстановительных работ либо демонтажа, истец обратился в арбитражный суд.</w:t>
      </w:r>
    </w:p>
    <w:p>
      <w:pPr>
        <w:pStyle w:val="0"/>
        <w:spacing w:before="200" w:lineRule="auto"/>
        <w:ind w:firstLine="540"/>
        <w:jc w:val="both"/>
      </w:pPr>
      <w:r>
        <w:rPr>
          <w:sz w:val="20"/>
        </w:rPr>
        <w:t xml:space="preserve">Частично удовлетворяя требования, суд первой инстанции исходил из того, что ответчик факт аварийности объектов не оспаривал, заявил о готовности произвести работы по устранению угрозы жизни и здоровью неопределенного круга лиц в связи с аварийным состоянием нежилых зданий. Суд отметил, что требование по освобождению земельного участка от зданий фактически направлено на принудительное изъятие имущества по основанию, не предусмотренному </w:t>
      </w:r>
      <w:hyperlink w:history="0" r:id="rId25" w:tooltip="&quot;Гражданский кодекс Российской Федерации (часть первая)&quot; от 30.11.1994 N 51-ФЗ (ред. от 08.08.2024, с изм. от 31.10.2024) ------------ Недействующая редакция {КонсультантПлюс}">
        <w:r>
          <w:rPr>
            <w:sz w:val="20"/>
            <w:color w:val="0000ff"/>
          </w:rPr>
          <w:t xml:space="preserve">пунктом 2 статьи 235</w:t>
        </w:r>
      </w:hyperlink>
      <w:r>
        <w:rPr>
          <w:sz w:val="20"/>
        </w:rPr>
        <w:t xml:space="preserve"> Гражданского кодекса Российской Федерации (далее - ГК РФ); учитывая, что постановлением Правительства Российской Федерации от 30.09.2011 N 802 утверждены </w:t>
      </w:r>
      <w:hyperlink w:history="0" r:id="rId26" w:tooltip="Постановление Правительства РФ от 30.09.2011 N 802 (ред. от 14.04.2022) &quot;Об утверждении Правил проведения консервации объекта капитального строительства&quot; ------------ Утратил силу или отменен {КонсультантПлюс}">
        <w:r>
          <w:rPr>
            <w:sz w:val="20"/>
            <w:color w:val="0000ff"/>
          </w:rPr>
          <w:t xml:space="preserve">Правила</w:t>
        </w:r>
      </w:hyperlink>
      <w:r>
        <w:rPr>
          <w:sz w:val="20"/>
        </w:rPr>
        <w:t xml:space="preserve"> проведения консервации объекта капитального строительства, из которых следует, что в состав работ по консервации объекта входит, в том числе принятие необходимых мер, препятствующих несанкционированному доступу внутрь объекта и на территорию строительной площадки, суд первой инстанции обязал общество устранить угрозу жизни и здоровью неопределенного круга лиц в связи с аварийным состоянием зданий путем обеспечения невозможности доступа к указанным объектам неопределенного круга лиц, перекрытия оконных проемов, дверных проемов в указанных объектах и обеспечением охраны; установлен срок для исполнения решения суда в течение месяца с момента вступления в законную силу решения суда.</w:t>
      </w:r>
    </w:p>
    <w:p>
      <w:pPr>
        <w:pStyle w:val="0"/>
        <w:spacing w:before="200" w:lineRule="auto"/>
        <w:ind w:firstLine="540"/>
        <w:jc w:val="both"/>
      </w:pPr>
      <w:r>
        <w:rPr>
          <w:sz w:val="20"/>
        </w:rPr>
        <w:t xml:space="preserve">Повторно рассмотрев дело, суд апелляционной инстанции, назначив по делу судебную экспертизу и руководствуясь выводами эксперта, обязал общество устранить угрозу жизни и здоровью неопределенного круга лиц в связи с аварийным состоянием зданий посредством капитального ремонта с заменой несущих конструкций зданий, с выполнением основных мероприятий, или посредством демонтажа (сноса) нежилых зданий; установлен срок для исполнения решения суда в течение двух месяцев с момента вступления в законную силу решения суда.</w:t>
      </w:r>
    </w:p>
    <w:p>
      <w:pPr>
        <w:pStyle w:val="0"/>
        <w:spacing w:before="200" w:lineRule="auto"/>
        <w:ind w:firstLine="540"/>
        <w:jc w:val="both"/>
      </w:pPr>
      <w:r>
        <w:rPr>
          <w:sz w:val="20"/>
        </w:rPr>
        <w:t xml:space="preserve">Между тем, изменяя решение суда первой инстанции в части способа и срока устранения угрозы жизни и здоровью неопределенного круга лиц, суд апелляционной инстанции не учел следующее.</w:t>
      </w:r>
    </w:p>
    <w:p>
      <w:pPr>
        <w:pStyle w:val="0"/>
        <w:spacing w:before="200" w:lineRule="auto"/>
        <w:ind w:firstLine="540"/>
        <w:jc w:val="both"/>
      </w:pPr>
      <w:r>
        <w:rPr>
          <w:sz w:val="20"/>
        </w:rPr>
        <w:t xml:space="preserve">В соответствии со </w:t>
      </w:r>
      <w:hyperlink w:history="0" r:id="rId27" w:tooltip="&quot;Гражданский кодекс Российской Федерации (часть первая)&quot; от 30.11.1994 N 51-ФЗ (ред. от 08.08.2024, с изм. от 31.10.2024) ------------ Недействующая редакция {КонсультантПлюс}">
        <w:r>
          <w:rPr>
            <w:sz w:val="20"/>
            <w:color w:val="0000ff"/>
          </w:rPr>
          <w:t xml:space="preserve">статьей 210</w:t>
        </w:r>
      </w:hyperlink>
      <w:r>
        <w:rPr>
          <w:sz w:val="20"/>
        </w:rPr>
        <w:t xml:space="preserve"> ГК РФ собственник несет бремя содержания принадлежащего ему имущества, если иное не предусмотрено законом или договором.</w:t>
      </w:r>
    </w:p>
    <w:p>
      <w:pPr>
        <w:pStyle w:val="0"/>
        <w:spacing w:before="200" w:lineRule="auto"/>
        <w:ind w:firstLine="540"/>
        <w:jc w:val="both"/>
      </w:pPr>
      <w:r>
        <w:rPr>
          <w:sz w:val="20"/>
        </w:rPr>
        <w:t xml:space="preserve">Согласно </w:t>
      </w:r>
      <w:hyperlink w:history="0" r:id="rId28" w:tooltip="&quot;Гражданский кодекс Российской Федерации (часть первая)&quot; от 30.11.1994 N 51-ФЗ (ред. от 08.08.2024, с изм. от 31.10.2024) ------------ Недействующая редакция {КонсультантПлюс}">
        <w:r>
          <w:rPr>
            <w:sz w:val="20"/>
            <w:color w:val="0000ff"/>
          </w:rPr>
          <w:t xml:space="preserve">пункту 1 статьи 263</w:t>
        </w:r>
      </w:hyperlink>
      <w:r>
        <w:rPr>
          <w:sz w:val="20"/>
        </w:rPr>
        <w:t xml:space="preserve"> ГК РФ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hyperlink w:history="0" r:id="rId29" w:tooltip="&quot;Гражданский кодекс Российской Федерации (часть первая)&quot; от 30.11.1994 N 51-ФЗ (ред. от 08.08.2024, с изм. от 31.10.2024) ------------ Недействующая редакция {КонсультантПлюс}">
        <w:r>
          <w:rPr>
            <w:sz w:val="20"/>
            <w:color w:val="0000ff"/>
          </w:rPr>
          <w:t xml:space="preserve">(пункт 2 статьи 260)</w:t>
        </w:r>
      </w:hyperlink>
      <w:r>
        <w:rPr>
          <w:sz w:val="20"/>
        </w:rPr>
        <w:t xml:space="preserve">.</w:t>
      </w:r>
    </w:p>
    <w:p>
      <w:pPr>
        <w:pStyle w:val="0"/>
        <w:spacing w:before="200" w:lineRule="auto"/>
        <w:ind w:firstLine="540"/>
        <w:jc w:val="both"/>
      </w:pPr>
      <w:r>
        <w:rPr>
          <w:sz w:val="20"/>
        </w:rPr>
        <w:t xml:space="preserve">На основании </w:t>
      </w:r>
      <w:hyperlink w:history="0" r:id="rId30" w:tooltip="&quot;Градостроительный кодекс Российской Федерации&quot; от 29.12.2004 N 190-ФЗ (ред. от 08.08.2024) (с изм. и доп., вступ. в силу с 01.09.2024) ------------ Недействующая редакция {КонсультантПлюс}">
        <w:r>
          <w:rPr>
            <w:sz w:val="20"/>
            <w:color w:val="0000ff"/>
          </w:rPr>
          <w:t xml:space="preserve">пункта 1 статьи 55.25</w:t>
        </w:r>
      </w:hyperlink>
      <w:r>
        <w:rPr>
          <w:sz w:val="20"/>
        </w:rPr>
        <w:t xml:space="preserve"> Градостроительного кодекса Российской Федерации (далее - ГрК РФ)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pPr>
        <w:pStyle w:val="0"/>
        <w:spacing w:before="200" w:lineRule="auto"/>
        <w:ind w:firstLine="540"/>
        <w:jc w:val="both"/>
      </w:pPr>
      <w:r>
        <w:rPr>
          <w:sz w:val="20"/>
        </w:rPr>
        <w:t xml:space="preserve">Согласно </w:t>
      </w:r>
      <w:hyperlink w:history="0" r:id="rId31" w:tooltip="&quot;Градостроительный кодекс Российской Федерации&quot; от 29.12.2004 N 190-ФЗ (ред. от 08.08.2024) (с изм. и доп., вступ. в силу с 01.09.2024) ------------ Недействующая редакция {КонсультантПлюс}">
        <w:r>
          <w:rPr>
            <w:sz w:val="20"/>
            <w:color w:val="0000ff"/>
          </w:rPr>
          <w:t xml:space="preserve">части 5 статьи 55.24</w:t>
        </w:r>
      </w:hyperlink>
      <w:r>
        <w:rPr>
          <w:sz w:val="20"/>
        </w:rPr>
        <w:t xml:space="preserve"> ГрК РФ эксплуатация зданий, сооружений,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w:t>
      </w:r>
      <w:hyperlink w:history="0" r:id="rId32" w:tooltip="&quot;Градостроительный кодекс Российской Федерации&quot; от 29.12.2004 N 190-ФЗ (ред. от 08.08.2024) (с изм. и доп., вступ. в силу с 01.09.2024) ------------ Недействующая редакция {КонсультантПлюс}">
        <w:r>
          <w:rPr>
            <w:sz w:val="20"/>
            <w:color w:val="0000ff"/>
          </w:rPr>
          <w:t xml:space="preserve">Кодексом</w:t>
        </w:r>
      </w:hyperlink>
      <w:r>
        <w:rPr>
          <w:sz w:val="20"/>
        </w:rPr>
        <w:t xml:space="preserve">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pPr>
        <w:pStyle w:val="0"/>
        <w:spacing w:before="200" w:lineRule="auto"/>
        <w:ind w:firstLine="540"/>
        <w:jc w:val="both"/>
      </w:pPr>
      <w:r>
        <w:rPr>
          <w:sz w:val="20"/>
        </w:rPr>
        <w:t xml:space="preserve">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 (</w:t>
      </w:r>
      <w:hyperlink w:history="0" r:id="rId33" w:tooltip="&quot;Градостроительный кодекс Российской Федерации&quot; от 29.12.2004 N 190-ФЗ (ред. от 08.08.2024) (с изм. и доп., вступ. в силу с 01.09.2024) ------------ Недействующая редакция {КонсультантПлюс}">
        <w:r>
          <w:rPr>
            <w:sz w:val="20"/>
            <w:color w:val="0000ff"/>
          </w:rPr>
          <w:t xml:space="preserve">часть 6 статьи 55.24</w:t>
        </w:r>
      </w:hyperlink>
      <w:r>
        <w:rPr>
          <w:sz w:val="20"/>
        </w:rPr>
        <w:t xml:space="preserve"> ГрК РФ).</w:t>
      </w:r>
    </w:p>
    <w:p>
      <w:pPr>
        <w:pStyle w:val="0"/>
        <w:spacing w:before="200" w:lineRule="auto"/>
        <w:ind w:firstLine="540"/>
        <w:jc w:val="both"/>
      </w:pPr>
      <w:r>
        <w:rPr>
          <w:sz w:val="20"/>
        </w:rPr>
        <w:t xml:space="preserve">Согласно </w:t>
      </w:r>
      <w:hyperlink w:history="0" r:id="rId34" w:tooltip="&quot;Гражданский кодекс Российской Федерации (часть вторая)&quot; от 26.01.1996 N 14-ФЗ (ред. от 24.07.2023) (с изм. и доп., вступ. в силу с 12.09.2023) ------------ Недействующая редакция {КонсультантПлюс}">
        <w:r>
          <w:rPr>
            <w:sz w:val="20"/>
            <w:color w:val="0000ff"/>
          </w:rPr>
          <w:t xml:space="preserve">статье 1065</w:t>
        </w:r>
      </w:hyperlink>
      <w:r>
        <w:rPr>
          <w:sz w:val="20"/>
        </w:rPr>
        <w:t xml:space="preserve"> ГК РФ опасность причинения вреда в будущем может явиться основанием к иску о запрещении деятельности, создающей такую опасность.</w:t>
      </w:r>
    </w:p>
    <w:p>
      <w:pPr>
        <w:pStyle w:val="0"/>
        <w:spacing w:before="200" w:lineRule="auto"/>
        <w:ind w:firstLine="540"/>
        <w:jc w:val="both"/>
      </w:pPr>
      <w:r>
        <w:rPr>
          <w:sz w:val="20"/>
        </w:rPr>
        <w:t xml:space="preserve">В силу требований </w:t>
      </w:r>
      <w:hyperlink w:history="0" r:id="rId35"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статей 35</w:t>
        </w:r>
      </w:hyperlink>
      <w:r>
        <w:rPr>
          <w:sz w:val="20"/>
        </w:rPr>
        <w:t xml:space="preserve">, </w:t>
      </w:r>
      <w:hyperlink w:history="0" r:id="rId36"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36</w:t>
        </w:r>
      </w:hyperlink>
      <w:r>
        <w:rPr>
          <w:sz w:val="20"/>
        </w:rPr>
        <w:t xml:space="preserve">, </w:t>
      </w:r>
      <w:hyperlink w:history="0" r:id="rId3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37</w:t>
        </w:r>
      </w:hyperlink>
      <w:r>
        <w:rPr>
          <w:sz w:val="20"/>
        </w:rPr>
        <w:t xml:space="preserve"> Федерального закона от 30.12.2009 N 384-ФЗ "Технический регламент о безопасности зданий и сооружений" строительство, реконструкция, капитальный и текущий ремонт здания или сооружения, консервация объекта, строительство которого не завершено, должны осуществляться таким образом, чтобы негативное воздействие на окружающую среду было минимальным и не возникала угроза для жизни и здоровья граждан, имущества физических или юридических лиц, государственного или муниципального имущества, жизни и здоровья животных и растений.</w:t>
      </w:r>
    </w:p>
    <w:p>
      <w:pPr>
        <w:pStyle w:val="0"/>
        <w:spacing w:before="200" w:lineRule="auto"/>
        <w:ind w:firstLine="540"/>
        <w:jc w:val="both"/>
      </w:pPr>
      <w:r>
        <w:rPr>
          <w:sz w:val="20"/>
        </w:rPr>
        <w:t xml:space="preserve">Безопасность здания или сооружения в процессе эксплуатации должна обеспечиваться посредством технического обслуживания,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а также посредством текущих ремонтов здания или сооружения.</w:t>
      </w:r>
    </w:p>
    <w:p>
      <w:pPr>
        <w:pStyle w:val="0"/>
        <w:spacing w:before="200" w:lineRule="auto"/>
        <w:ind w:firstLine="540"/>
        <w:jc w:val="both"/>
      </w:pPr>
      <w:r>
        <w:rPr>
          <w:sz w:val="20"/>
        </w:rPr>
        <w:t xml:space="preserve">Параметры и другие характеристики строительных конструкций и систем инженерно-технического обеспечения в процессе эксплуатации здания или сооружения должны соответствовать требованиям проектной документации.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проводимых в соответствии с законодательством Российской Федерации.</w:t>
      </w:r>
    </w:p>
    <w:p>
      <w:pPr>
        <w:pStyle w:val="0"/>
        <w:spacing w:before="200" w:lineRule="auto"/>
        <w:ind w:firstLine="540"/>
        <w:jc w:val="both"/>
      </w:pPr>
      <w:r>
        <w:rPr>
          <w:sz w:val="20"/>
        </w:rPr>
        <w:t xml:space="preserve">При прекращении эксплуатации здания или сооружения собственник здания или сооружения должен принять меры, предупреждающие причинение вреда населению и окружающей среде, в том числе меры, препятствующие несанкционированному доступу людей в здание или сооружение, а также осуществить мероприятия по утилизации строительного мусора.</w:t>
      </w:r>
    </w:p>
    <w:p>
      <w:pPr>
        <w:pStyle w:val="0"/>
        <w:spacing w:before="200" w:lineRule="auto"/>
        <w:ind w:firstLine="540"/>
        <w:jc w:val="both"/>
      </w:pPr>
      <w:r>
        <w:rPr>
          <w:sz w:val="20"/>
        </w:rPr>
        <w:t xml:space="preserve">В соответствии со </w:t>
      </w:r>
      <w:hyperlink w:history="0" r:id="rId38" w:tooltip="&quot;Градостроительный кодекс Российской Федерации&quot; от 29.12.2004 N 190-ФЗ (ред. от 08.08.2024) (с изм. и доп., вступ. в силу с 01.09.2024) ------------ Недействующая редакция {КонсультантПлюс}">
        <w:r>
          <w:rPr>
            <w:sz w:val="20"/>
            <w:color w:val="0000ff"/>
          </w:rPr>
          <w:t xml:space="preserve">статьей 55.30</w:t>
        </w:r>
      </w:hyperlink>
      <w:r>
        <w:rPr>
          <w:sz w:val="20"/>
        </w:rPr>
        <w:t xml:space="preserve"> ГрК РФ решение о сносе объектов капитального строительства принимается собственником объекта или застройщиком, органом местного самоуправления либо судом.</w:t>
      </w:r>
    </w:p>
    <w:p>
      <w:pPr>
        <w:pStyle w:val="0"/>
        <w:spacing w:before="200" w:lineRule="auto"/>
        <w:ind w:firstLine="540"/>
        <w:jc w:val="both"/>
      </w:pPr>
      <w:r>
        <w:rPr>
          <w:sz w:val="20"/>
        </w:rPr>
        <w:t xml:space="preserve">Собственник здания при прекращении его эксплуатации должен принять меры, предупреждающие причинение вреда населению и окружающей среде, в том числе меры, препятствующие несанкционированному доступу людей в здание или сооружение, а также осуществить мероприятия по утилизации строительного мусора.</w:t>
      </w:r>
    </w:p>
    <w:p>
      <w:pPr>
        <w:pStyle w:val="0"/>
        <w:spacing w:before="200" w:lineRule="auto"/>
        <w:ind w:firstLine="540"/>
        <w:jc w:val="both"/>
      </w:pPr>
      <w:r>
        <w:rPr>
          <w:sz w:val="20"/>
        </w:rPr>
        <w:t xml:space="preserve">Суд первой инстанции, учитывая, что спорные объекты не эксплуатируются и ответчик факт угрозы жизни и здоровью граждан не отрицал, пришел к верному выводу о необходимости принятия мер, препятствующих несанкционированному доступу людей в здания, что в полной мере обеспечит защиту прав неопределенного круга лиц.</w:t>
      </w:r>
    </w:p>
    <w:p>
      <w:pPr>
        <w:pStyle w:val="0"/>
        <w:spacing w:before="200" w:lineRule="auto"/>
        <w:ind w:firstLine="540"/>
        <w:jc w:val="both"/>
      </w:pPr>
      <w:r>
        <w:rPr>
          <w:sz w:val="20"/>
        </w:rPr>
        <w:t xml:space="preserve">Возможность применения правового последствия в виде сноса объекта недвижимости положения </w:t>
      </w:r>
      <w:hyperlink w:history="0" r:id="rId39" w:tooltip="&quot;Гражданский кодекс Российской Федерации (часть вторая)&quot; от 26.01.1996 N 14-ФЗ (ред. от 24.07.2023) (с изм. и доп., вступ. в силу с 12.09.2023) ------------ Недействующая редакция {КонсультантПлюс}">
        <w:r>
          <w:rPr>
            <w:sz w:val="20"/>
            <w:color w:val="0000ff"/>
          </w:rPr>
          <w:t xml:space="preserve">статьи 1065</w:t>
        </w:r>
      </w:hyperlink>
      <w:r>
        <w:rPr>
          <w:sz w:val="20"/>
        </w:rPr>
        <w:t xml:space="preserve"> ГК РФ не предусматривают.</w:t>
      </w:r>
    </w:p>
    <w:p>
      <w:pPr>
        <w:pStyle w:val="0"/>
        <w:spacing w:before="200" w:lineRule="auto"/>
        <w:ind w:firstLine="540"/>
        <w:jc w:val="both"/>
      </w:pPr>
      <w:r>
        <w:rPr>
          <w:sz w:val="20"/>
        </w:rPr>
        <w:t xml:space="preserve">Требования истца о предоставлении согласно </w:t>
      </w:r>
      <w:hyperlink w:history="0" r:id="rId40"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части 3 статьи 174</w:t>
        </w:r>
      </w:hyperlink>
      <w:r>
        <w:rPr>
          <w:sz w:val="20"/>
        </w:rPr>
        <w:t xml:space="preserve"> АПК РФ права на снос объектов фактически направлены на принудительное изъятие имущества по основанию, не предусмотренному </w:t>
      </w:r>
      <w:hyperlink w:history="0" r:id="rId41" w:tooltip="&quot;Гражданский кодекс Российской Федерации (часть первая)&quot; от 30.11.1994 N 51-ФЗ (ред. от 08.08.2024, с изм. от 31.10.2024) ------------ Недействующая редакция {КонсультантПлюс}">
        <w:r>
          <w:rPr>
            <w:sz w:val="20"/>
            <w:color w:val="0000ff"/>
          </w:rPr>
          <w:t xml:space="preserve">пунктом 2 статьи 235</w:t>
        </w:r>
      </w:hyperlink>
      <w:r>
        <w:rPr>
          <w:sz w:val="20"/>
        </w:rPr>
        <w:t xml:space="preserve"> ГК РФ.</w:t>
      </w:r>
    </w:p>
    <w:p>
      <w:pPr>
        <w:pStyle w:val="0"/>
        <w:spacing w:before="200" w:lineRule="auto"/>
        <w:ind w:firstLine="540"/>
        <w:jc w:val="both"/>
      </w:pPr>
      <w:r>
        <w:rPr>
          <w:sz w:val="20"/>
        </w:rPr>
        <w:t xml:space="preserve">Принятым решением ответчик понужден принять меры, препятствующие несанкционированному доступу людей в здание или сооружение, а также осуществить мероприятия по утилизации строительного мусора, т.е. цель и задачи нормы </w:t>
      </w:r>
      <w:hyperlink w:history="0" r:id="rId42" w:tooltip="&quot;Гражданский кодекс Российской Федерации (часть вторая)&quot; от 26.01.1996 N 14-ФЗ (ред. от 24.07.2023) (с изм. и доп., вступ. в силу с 12.09.2023) ------------ Недействующая редакция {КонсультантПлюс}">
        <w:r>
          <w:rPr>
            <w:sz w:val="20"/>
            <w:color w:val="0000ff"/>
          </w:rPr>
          <w:t xml:space="preserve">статьи 1065</w:t>
        </w:r>
      </w:hyperlink>
      <w:r>
        <w:rPr>
          <w:sz w:val="20"/>
        </w:rPr>
        <w:t xml:space="preserve"> ГК РФ судом в полной мере реализованы. При надлежащем исполнении данного решения опасность угрозы жизни и здоровью неопределенного круга лиц объективно будет устранена.</w:t>
      </w:r>
    </w:p>
    <w:p>
      <w:pPr>
        <w:pStyle w:val="0"/>
        <w:spacing w:before="200" w:lineRule="auto"/>
        <w:ind w:firstLine="540"/>
        <w:jc w:val="both"/>
      </w:pPr>
      <w:r>
        <w:rPr>
          <w:sz w:val="20"/>
        </w:rPr>
        <w:t xml:space="preserve">В соответствии с </w:t>
      </w:r>
      <w:hyperlink w:history="0" r:id="rId43"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пунктом 5 части 1 статьи 287</w:t>
        </w:r>
      </w:hyperlink>
      <w:r>
        <w:rPr>
          <w:sz w:val="20"/>
        </w:rPr>
        <w:t xml:space="preserve"> АПК РФ по результатам рассмотрения кассационной жалобы арбитражный суд кассационной инстанции вправе оставить в силе одно из ранее принятых по делу решений или постановлений.</w:t>
      </w:r>
    </w:p>
    <w:p>
      <w:pPr>
        <w:pStyle w:val="0"/>
        <w:spacing w:before="200" w:lineRule="auto"/>
        <w:ind w:firstLine="540"/>
        <w:jc w:val="both"/>
      </w:pPr>
      <w:r>
        <w:rPr>
          <w:sz w:val="20"/>
        </w:rPr>
        <w:t xml:space="preserve">С учетом изложенного, судебная коллегия полагает необходимым отменить </w:t>
      </w:r>
      <w:hyperlink w:history="0" r:id="rId44"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постановление</w:t>
        </w:r>
      </w:hyperlink>
      <w:r>
        <w:rPr>
          <w:sz w:val="20"/>
        </w:rPr>
        <w:t xml:space="preserve"> суда апелляционной инстанции с оставлением в силе решения суда первой инстанции.</w:t>
      </w:r>
    </w:p>
    <w:p>
      <w:pPr>
        <w:pStyle w:val="0"/>
        <w:spacing w:before="200" w:lineRule="auto"/>
        <w:ind w:firstLine="540"/>
        <w:jc w:val="both"/>
      </w:pPr>
      <w:r>
        <w:rPr>
          <w:sz w:val="20"/>
        </w:rPr>
        <w:t xml:space="preserve">Руководствуясь </w:t>
      </w:r>
      <w:hyperlink w:history="0" r:id="rId45"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статьями 176</w:t>
        </w:r>
      </w:hyperlink>
      <w:r>
        <w:rPr>
          <w:sz w:val="20"/>
        </w:rPr>
        <w:t xml:space="preserve">, </w:t>
      </w:r>
      <w:hyperlink w:history="0" r:id="rId46"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284</w:t>
        </w:r>
      </w:hyperlink>
      <w:r>
        <w:rPr>
          <w:sz w:val="20"/>
        </w:rPr>
        <w:t xml:space="preserve"> - </w:t>
      </w:r>
      <w:hyperlink w:history="0" r:id="rId47"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289</w:t>
        </w:r>
      </w:hyperlink>
      <w:r>
        <w:rPr>
          <w:sz w:val="20"/>
        </w:rPr>
        <w:t xml:space="preserve"> Арбитражного процессуального кодекса Российской Федерации, суд</w:t>
      </w:r>
    </w:p>
    <w:p>
      <w:pPr>
        <w:pStyle w:val="0"/>
        <w:jc w:val="center"/>
      </w:pPr>
      <w:r>
        <w:rPr>
          <w:sz w:val="20"/>
        </w:rPr>
      </w:r>
    </w:p>
    <w:p>
      <w:pPr>
        <w:pStyle w:val="0"/>
        <w:jc w:val="center"/>
      </w:pPr>
      <w:r>
        <w:rPr>
          <w:sz w:val="20"/>
        </w:rPr>
        <w:t xml:space="preserve">постановил:</w:t>
      </w:r>
    </w:p>
    <w:p>
      <w:pPr>
        <w:pStyle w:val="0"/>
        <w:jc w:val="center"/>
      </w:pPr>
      <w:r>
        <w:rPr>
          <w:sz w:val="20"/>
        </w:rPr>
      </w:r>
    </w:p>
    <w:p>
      <w:pPr>
        <w:pStyle w:val="0"/>
        <w:ind w:firstLine="540"/>
        <w:jc w:val="both"/>
      </w:pPr>
      <w:hyperlink w:history="0" r:id="rId48" w:tooltip="Постановление Девятого арбитражного апелляционного суда от 17.12.2025 N 09АП-78987/2024 по делу N А40-144073/2024 Категория: Споры в сфере управления и контроля за муниципальным, региональным, федеральным имуществом. Требования органов исполнительной власти: О возложении обязанности по устранению угрозы жизни и здоровью неопределенного круга лиц, об обязании провести мероприятия по снятию нежилых зданий с государственного кадастрового учета в случае их сноса и по прекращению права собственности на нежилые з ------------ Утратил силу или отменен {КонсультантПлюс}">
        <w:r>
          <w:rPr>
            <w:sz w:val="20"/>
            <w:color w:val="0000ff"/>
          </w:rPr>
          <w:t xml:space="preserve">Постановление</w:t>
        </w:r>
      </w:hyperlink>
      <w:r>
        <w:rPr>
          <w:sz w:val="20"/>
        </w:rPr>
        <w:t xml:space="preserve"> Девятого арбитражного апелляционного суда от 17.12.2025 по делу N А40-144073/2024 отменить, </w:t>
      </w:r>
      <w:hyperlink w:history="0" r:id="rId49" w:tooltip="Ссылка на КонсультантПлюс">
        <w:r>
          <w:rPr>
            <w:sz w:val="20"/>
            <w:color w:val="0000ff"/>
          </w:rPr>
          <w:t xml:space="preserve">решение</w:t>
        </w:r>
      </w:hyperlink>
      <w:r>
        <w:rPr>
          <w:sz w:val="20"/>
        </w:rPr>
        <w:t xml:space="preserve"> Арбитражного суда города Москвы от 05.11.2024 оставить в силе.</w:t>
      </w:r>
    </w:p>
    <w:p>
      <w:pPr>
        <w:pStyle w:val="0"/>
        <w:spacing w:before="200" w:lineRule="auto"/>
        <w:ind w:firstLine="540"/>
        <w:jc w:val="both"/>
      </w:pPr>
      <w:r>
        <w:rPr>
          <w:sz w:val="20"/>
        </w:rPr>
        <w:t xml:space="preserve">Взыскать с Департамента городского имущества города Москвы в пользу общества с ограниченной ответственностью "Ерино Эстейт" судебные расходы по оплате государственной пошлины в размере 50 000 рублей.</w:t>
      </w:r>
    </w:p>
    <w:p>
      <w:pPr>
        <w:pStyle w:val="0"/>
        <w:ind w:firstLine="540"/>
        <w:jc w:val="both"/>
      </w:pPr>
      <w:r>
        <w:rPr>
          <w:sz w:val="20"/>
        </w:rPr>
      </w:r>
    </w:p>
    <w:p>
      <w:pPr>
        <w:pStyle w:val="0"/>
        <w:jc w:val="right"/>
      </w:pPr>
      <w:r>
        <w:rPr>
          <w:sz w:val="20"/>
        </w:rPr>
        <w:t xml:space="preserve">Председательствующий судья</w:t>
      </w:r>
    </w:p>
    <w:p>
      <w:pPr>
        <w:pStyle w:val="0"/>
        <w:jc w:val="right"/>
      </w:pPr>
      <w:r>
        <w:rPr>
          <w:sz w:val="20"/>
        </w:rPr>
        <w:t xml:space="preserve">Л.В.ФЕДУЛОВА</w:t>
      </w:r>
    </w:p>
    <w:p>
      <w:pPr>
        <w:pStyle w:val="0"/>
        <w:jc w:val="right"/>
      </w:pPr>
      <w:r>
        <w:rPr>
          <w:sz w:val="20"/>
        </w:rPr>
      </w:r>
    </w:p>
    <w:p>
      <w:pPr>
        <w:pStyle w:val="0"/>
        <w:jc w:val="right"/>
      </w:pPr>
      <w:r>
        <w:rPr>
          <w:sz w:val="20"/>
        </w:rPr>
        <w:t xml:space="preserve">Судьи</w:t>
      </w:r>
    </w:p>
    <w:p>
      <w:pPr>
        <w:pStyle w:val="0"/>
        <w:jc w:val="right"/>
      </w:pPr>
      <w:r>
        <w:rPr>
          <w:sz w:val="20"/>
        </w:rPr>
        <w:t xml:space="preserve">З.А.АТАЛИКОВА</w:t>
      </w:r>
    </w:p>
    <w:p>
      <w:pPr>
        <w:pStyle w:val="0"/>
        <w:jc w:val="right"/>
      </w:pPr>
      <w:r>
        <w:rPr>
          <w:sz w:val="20"/>
        </w:rPr>
        <w:t xml:space="preserve">Д.Г.ЯРЦЕВ</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Арбитражного суда Московского округа от 03.08.2026 N Ф05-235/2026 по делу N А40-144073/2024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Постановление Арбитражного суда Московского округа от 03.08.2026 N Ф05-235/2026 по делу N А40-144073/2024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MARB&amp;n=3028285" TargetMode = "External"/><Relationship Id="rId8" Type="http://schemas.openxmlformats.org/officeDocument/2006/relationships/hyperlink" Target="https://login.consultant.ru/link/?req=doc&amp;base=LAW&amp;n=520138&amp;dst=101107" TargetMode = "External"/><Relationship Id="rId9" Type="http://schemas.openxmlformats.org/officeDocument/2006/relationships/hyperlink" Target="https://login.consultant.ru/link/?req=doc&amp;base=MARB&amp;n=3028285" TargetMode = "External"/><Relationship Id="rId10" Type="http://schemas.openxmlformats.org/officeDocument/2006/relationships/hyperlink" Target="https://login.consultant.ru/link/?req=doc&amp;base=ASMS&amp;n=3950112" TargetMode = "External"/><Relationship Id="rId11" Type="http://schemas.openxmlformats.org/officeDocument/2006/relationships/hyperlink" Target="https://login.consultant.ru/link/?req=doc&amp;base=LAW&amp;n=520138&amp;dst=101107" TargetMode = "External"/><Relationship Id="rId12" Type="http://schemas.openxmlformats.org/officeDocument/2006/relationships/hyperlink" Target="https://login.consultant.ru/link/?req=doc&amp;base=MARB&amp;n=3028285" TargetMode = "External"/><Relationship Id="rId13" Type="http://schemas.openxmlformats.org/officeDocument/2006/relationships/hyperlink" Target="https://login.consultant.ru/link/?req=doc&amp;base=MARB&amp;n=3028285" TargetMode = "External"/><Relationship Id="rId14" Type="http://schemas.openxmlformats.org/officeDocument/2006/relationships/hyperlink" Target="https://login.consultant.ru/link/?req=doc&amp;base=LAW&amp;n=520138&amp;dst=1955" TargetMode = "External"/><Relationship Id="rId15" Type="http://schemas.openxmlformats.org/officeDocument/2006/relationships/hyperlink" Target="https://kad.arbitr.ru" TargetMode = "External"/><Relationship Id="rId16" Type="http://schemas.openxmlformats.org/officeDocument/2006/relationships/hyperlink" Target="https://login.consultant.ru/link/?req=doc&amp;base=LAW&amp;n=520138&amp;dst=101840" TargetMode = "External"/><Relationship Id="rId17" Type="http://schemas.openxmlformats.org/officeDocument/2006/relationships/hyperlink" Target="https://login.consultant.ru/link/?req=doc&amp;base=LAW&amp;n=520138&amp;dst=101879" TargetMode = "External"/><Relationship Id="rId18" Type="http://schemas.openxmlformats.org/officeDocument/2006/relationships/hyperlink" Target="https://login.consultant.ru/link/?req=doc&amp;base=LAW&amp;n=520138&amp;dst=101876" TargetMode = "External"/><Relationship Id="rId19" Type="http://schemas.openxmlformats.org/officeDocument/2006/relationships/hyperlink" Target="https://login.consultant.ru/link/?req=doc&amp;base=LAW&amp;n=520138&amp;dst=101882" TargetMode = "External"/><Relationship Id="rId20" Type="http://schemas.openxmlformats.org/officeDocument/2006/relationships/hyperlink" Target="https://login.consultant.ru/link/?req=doc&amp;base=LAW&amp;n=520138&amp;dst=101886" TargetMode = "External"/><Relationship Id="rId21" Type="http://schemas.openxmlformats.org/officeDocument/2006/relationships/hyperlink" Target="https://login.consultant.ru/link/?req=doc&amp;base=MARB&amp;n=3028285" TargetMode = "External"/><Relationship Id="rId22" Type="http://schemas.openxmlformats.org/officeDocument/2006/relationships/hyperlink" Target="https://login.consultant.ru/link/?req=doc&amp;base=LAW&amp;n=471020&amp;dst=10" TargetMode = "External"/><Relationship Id="rId23" Type="http://schemas.openxmlformats.org/officeDocument/2006/relationships/hyperlink" Target="https://login.consultant.ru/link/?req=doc&amp;base=LAW&amp;n=471020&amp;dst=100099" TargetMode = "External"/><Relationship Id="rId24" Type="http://schemas.openxmlformats.org/officeDocument/2006/relationships/hyperlink" Target="https://login.consultant.ru/link/?req=doc&amp;base=LAW&amp;n=471020&amp;dst=100320" TargetMode = "External"/><Relationship Id="rId25" Type="http://schemas.openxmlformats.org/officeDocument/2006/relationships/hyperlink" Target="https://login.consultant.ru/link/?req=doc&amp;base=LAW&amp;n=482692&amp;dst=101252" TargetMode = "External"/><Relationship Id="rId26" Type="http://schemas.openxmlformats.org/officeDocument/2006/relationships/hyperlink" Target="https://login.consultant.ru/link/?req=doc&amp;base=LAW&amp;n=414983&amp;dst=100008" TargetMode = "External"/><Relationship Id="rId27" Type="http://schemas.openxmlformats.org/officeDocument/2006/relationships/hyperlink" Target="https://login.consultant.ru/link/?req=doc&amp;base=LAW&amp;n=482692&amp;dst=101130" TargetMode = "External"/><Relationship Id="rId28" Type="http://schemas.openxmlformats.org/officeDocument/2006/relationships/hyperlink" Target="https://login.consultant.ru/link/?req=doc&amp;base=LAW&amp;n=482692&amp;dst=102193" TargetMode = "External"/><Relationship Id="rId29" Type="http://schemas.openxmlformats.org/officeDocument/2006/relationships/hyperlink" Target="https://login.consultant.ru/link/?req=doc&amp;base=LAW&amp;n=482692&amp;dst=102192" TargetMode = "External"/><Relationship Id="rId30" Type="http://schemas.openxmlformats.org/officeDocument/2006/relationships/hyperlink" Target="https://login.consultant.ru/link/?req=doc&amp;base=LAW&amp;n=471026&amp;dst=600" TargetMode = "External"/><Relationship Id="rId31" Type="http://schemas.openxmlformats.org/officeDocument/2006/relationships/hyperlink" Target="https://login.consultant.ru/link/?req=doc&amp;base=LAW&amp;n=471026&amp;dst=4053" TargetMode = "External"/><Relationship Id="rId32" Type="http://schemas.openxmlformats.org/officeDocument/2006/relationships/hyperlink" Target="https://login.consultant.ru/link/?req=doc&amp;base=LAW&amp;n=471026" TargetMode = "External"/><Relationship Id="rId33" Type="http://schemas.openxmlformats.org/officeDocument/2006/relationships/hyperlink" Target="https://login.consultant.ru/link/?req=doc&amp;base=LAW&amp;n=471026&amp;dst=592" TargetMode = "External"/><Relationship Id="rId34" Type="http://schemas.openxmlformats.org/officeDocument/2006/relationships/hyperlink" Target="https://login.consultant.ru/link/?req=doc&amp;base=LAW&amp;n=449455&amp;dst=102613" TargetMode = "External"/><Relationship Id="rId35" Type="http://schemas.openxmlformats.org/officeDocument/2006/relationships/hyperlink" Target="https://login.consultant.ru/link/?req=doc&amp;base=LAW&amp;n=471020&amp;dst=100313" TargetMode = "External"/><Relationship Id="rId36" Type="http://schemas.openxmlformats.org/officeDocument/2006/relationships/hyperlink" Target="https://login.consultant.ru/link/?req=doc&amp;base=LAW&amp;n=471020&amp;dst=100316" TargetMode = "External"/><Relationship Id="rId37" Type="http://schemas.openxmlformats.org/officeDocument/2006/relationships/hyperlink" Target="https://login.consultant.ru/link/?req=doc&amp;base=LAW&amp;n=471020&amp;dst=100320" TargetMode = "External"/><Relationship Id="rId38" Type="http://schemas.openxmlformats.org/officeDocument/2006/relationships/hyperlink" Target="https://login.consultant.ru/link/?req=doc&amp;base=LAW&amp;n=471026&amp;dst=2743" TargetMode = "External"/><Relationship Id="rId39" Type="http://schemas.openxmlformats.org/officeDocument/2006/relationships/hyperlink" Target="https://login.consultant.ru/link/?req=doc&amp;base=LAW&amp;n=449455&amp;dst=102613" TargetMode = "External"/><Relationship Id="rId40" Type="http://schemas.openxmlformats.org/officeDocument/2006/relationships/hyperlink" Target="https://login.consultant.ru/link/?req=doc&amp;base=LAW&amp;n=520138&amp;dst=101107" TargetMode = "External"/><Relationship Id="rId41" Type="http://schemas.openxmlformats.org/officeDocument/2006/relationships/hyperlink" Target="https://login.consultant.ru/link/?req=doc&amp;base=LAW&amp;n=482692&amp;dst=101252" TargetMode = "External"/><Relationship Id="rId42" Type="http://schemas.openxmlformats.org/officeDocument/2006/relationships/hyperlink" Target="https://login.consultant.ru/link/?req=doc&amp;base=LAW&amp;n=449455&amp;dst=102613" TargetMode = "External"/><Relationship Id="rId43" Type="http://schemas.openxmlformats.org/officeDocument/2006/relationships/hyperlink" Target="https://login.consultant.ru/link/?req=doc&amp;base=LAW&amp;n=520138&amp;dst=101892" TargetMode = "External"/><Relationship Id="rId44" Type="http://schemas.openxmlformats.org/officeDocument/2006/relationships/hyperlink" Target="https://login.consultant.ru/link/?req=doc&amp;base=MARB&amp;n=3028285" TargetMode = "External"/><Relationship Id="rId45" Type="http://schemas.openxmlformats.org/officeDocument/2006/relationships/hyperlink" Target="https://login.consultant.ru/link/?req=doc&amp;base=LAW&amp;n=520138&amp;dst=101111" TargetMode = "External"/><Relationship Id="rId46" Type="http://schemas.openxmlformats.org/officeDocument/2006/relationships/hyperlink" Target="https://login.consultant.ru/link/?req=doc&amp;base=LAW&amp;n=520138&amp;dst=101876" TargetMode = "External"/><Relationship Id="rId47" Type="http://schemas.openxmlformats.org/officeDocument/2006/relationships/hyperlink" Target="https://login.consultant.ru/link/?req=doc&amp;base=LAW&amp;n=520138&amp;dst=101910" TargetMode = "External"/><Relationship Id="rId48" Type="http://schemas.openxmlformats.org/officeDocument/2006/relationships/hyperlink" Target="https://login.consultant.ru/link/?req=doc&amp;base=MARB&amp;n=3028285" TargetMode = "External"/><Relationship Id="rId49" Type="http://schemas.openxmlformats.org/officeDocument/2006/relationships/hyperlink" Target="https://login.consultant.ru/link/?req=doc&amp;base=ASMS&amp;n=395011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Арбитражного суда Московского округа от 03.08.2026 N Ф05-235/2026 по делу N А40-144073/2024
Требование: Об обязании устранить угрозу жизни и здоровью неопределенного круга лиц в связи с аварийным состоянием зданий путем осуществления восстановительных работ либо сноса, провести мероприятия по снятию зданий с кадастрового учета, прекращению права собственности, взыскании судебной неустойки.
Обстоятельства: Истец ссылается на то, что принадлежащие ответчику здания находятся в аварийном состоянии</dc:title>
  <dcterms:created xsi:type="dcterms:W3CDTF">2026-08-16T19:01:45Z</dcterms:created>
</cp:coreProperties>
</file>