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2636" w:rsidRDefault="000B2636">
      <w:pPr>
        <w:pStyle w:val="ConsPlusNormal"/>
        <w:ind w:firstLine="540"/>
        <w:jc w:val="both"/>
        <w:outlineLvl w:val="0"/>
      </w:pPr>
    </w:p>
    <w:p w:rsidR="000B2636" w:rsidRDefault="00645D87">
      <w:pPr>
        <w:pStyle w:val="ConsPlusTitle"/>
        <w:jc w:val="center"/>
      </w:pPr>
      <w:r>
        <w:t>ВЕРХОВНЫЙ СУД РОССИЙСКОЙ ФЕДЕРАЦИИ</w:t>
      </w:r>
    </w:p>
    <w:p w:rsidR="000B2636" w:rsidRDefault="000B2636">
      <w:pPr>
        <w:pStyle w:val="ConsPlusTitle"/>
        <w:jc w:val="center"/>
      </w:pPr>
    </w:p>
    <w:p w:rsidR="000B2636" w:rsidRDefault="00645D87">
      <w:pPr>
        <w:pStyle w:val="ConsPlusTitle"/>
        <w:jc w:val="center"/>
      </w:pPr>
      <w:r>
        <w:t>ОПРЕДЕЛЕНИЕ</w:t>
      </w:r>
    </w:p>
    <w:p w:rsidR="000B2636" w:rsidRDefault="00645D87">
      <w:pPr>
        <w:pStyle w:val="ConsPlusTitle"/>
        <w:jc w:val="center"/>
      </w:pPr>
      <w:r>
        <w:t>от 1 сентября 2026 г. N 301-ЭС25-14195</w:t>
      </w:r>
    </w:p>
    <w:p w:rsidR="000B2636" w:rsidRDefault="000B2636">
      <w:pPr>
        <w:pStyle w:val="ConsPlusNormal"/>
        <w:ind w:firstLine="540"/>
        <w:jc w:val="both"/>
      </w:pPr>
    </w:p>
    <w:p w:rsidR="000B2636" w:rsidRDefault="00645D87">
      <w:pPr>
        <w:pStyle w:val="ConsPlusNormal"/>
        <w:jc w:val="right"/>
      </w:pPr>
      <w:r>
        <w:t>Дело N А79-5595/2024</w:t>
      </w:r>
    </w:p>
    <w:p w:rsidR="000B2636" w:rsidRDefault="000B2636">
      <w:pPr>
        <w:pStyle w:val="ConsPlusNormal"/>
        <w:ind w:firstLine="540"/>
        <w:jc w:val="both"/>
      </w:pPr>
    </w:p>
    <w:p w:rsidR="000B2636" w:rsidRDefault="00645D87">
      <w:pPr>
        <w:pStyle w:val="ConsPlusNormal"/>
        <w:ind w:firstLine="540"/>
        <w:jc w:val="both"/>
      </w:pPr>
      <w:r>
        <w:t>Резолютивная часть определения объявлена 26 августа 2026 г.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Полный текст определения изготовлен 1 сентября 2026 г.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Судебная коллегия по экономическим спорам Верховного Суда Российской Федерации в составе: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председательствующего судьи Антоновой М.К.,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судей Хатыповой Р.А., Якимова А.А.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рассмотрела в открытом судебном заседании кассационную жалобу общества с ограниченной о</w:t>
      </w:r>
      <w:r>
        <w:t>тветственностью "Дорстар" на решение Арбитражного суда Чувашской Республики - Чувашии от 24 октября 2024 г., постановление Первого арбитражного апелляционного суда от 31 марта 2025 г. и постановление Арбитражного суда Волго-Вятского округа от 5 ноября 2025</w:t>
      </w:r>
      <w:r>
        <w:t xml:space="preserve"> г. по делу N А79-5595/2024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по иску заместителя прокурора Чувашской Республики в защиту интересов Чувашской Республики в лице уполномоченного органа - Министерства финансов Чувашской Республики (далее - министерство) и публично-правового образования "город</w:t>
      </w:r>
      <w:r>
        <w:t xml:space="preserve"> Чебоксары Чувашской Республики" в лице уполномоченного органа - администрации города Чебоксары Чувашской Республики (далее - администрация) к обществу с ограниченной ответственностью "Дорстар" о взыскании 40 652 732 руб. 86 коп. процентов за пользование ч</w:t>
      </w:r>
      <w:r>
        <w:t>ужими денежными средствами за период с 11 февраля 2023 г. по 6 марта 2024 г. и далее по день фактической оплаты, из них 8 088 629 руб. 2 коп. в пользу администрации, 32 564 103 руб. 84 коп. в пользу министерства,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при участии в деле в качестве третьего лица</w:t>
      </w:r>
      <w:r>
        <w:t>, не заявляющего самостоятельных требований относительно предмета спора: муниципального казенного учреждения "Управление жилищно-коммунального хозяйства и благоустройства" города Чебоксары.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заседании приняли участие представители: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от общества с ограничен</w:t>
      </w:r>
      <w:r>
        <w:t>ной ответственностью "Дорстар" - Смирнов А.Е., Сымов Э.Г., Яхатин С.А.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Заслушав доклад судьи Верховного Суда Российской Федерации Антоновой М.К., выслушав объяснения представителей участвующего в деле лица, Судебная коллегия по экономическим спорам Верховн</w:t>
      </w:r>
      <w:r>
        <w:t>ого Суда Российской Федерации</w:t>
      </w:r>
    </w:p>
    <w:p w:rsidR="000B2636" w:rsidRDefault="000B2636">
      <w:pPr>
        <w:pStyle w:val="ConsPlusNormal"/>
        <w:jc w:val="center"/>
      </w:pPr>
    </w:p>
    <w:p w:rsidR="000B2636" w:rsidRDefault="00645D87">
      <w:pPr>
        <w:pStyle w:val="ConsPlusNormal"/>
        <w:jc w:val="center"/>
      </w:pPr>
      <w:r>
        <w:t>установила:</w:t>
      </w:r>
    </w:p>
    <w:p w:rsidR="000B2636" w:rsidRDefault="000B2636">
      <w:pPr>
        <w:pStyle w:val="ConsPlusNormal"/>
        <w:jc w:val="center"/>
      </w:pPr>
    </w:p>
    <w:p w:rsidR="000B2636" w:rsidRDefault="00645D87">
      <w:pPr>
        <w:pStyle w:val="ConsPlusNormal"/>
        <w:ind w:firstLine="540"/>
        <w:jc w:val="both"/>
      </w:pPr>
      <w:r>
        <w:t>заместитель прокурора Чувашской Республики обратился в арбитражный суд с иском в защиту интересов Чувашской Республики в лице уполномоченного органа - министерства и публично-правового образования "город Чебоксар</w:t>
      </w:r>
      <w:r>
        <w:t xml:space="preserve">ы Чувашской Республики" в лице уполномоченного органа - администрации к обществу с ограниченной ответственностью "Дорстар" (далее - ООО "Дорстар", общество) о взыскании 40 652 732 руб. 86 коп. процентов за пользование чужими денежными средствами за период </w:t>
      </w:r>
      <w:r>
        <w:t>с 11 февраля 2023 г. по 6 марта 2024 г. и далее по день фактической оплаты, из них 8 088 629 руб. 2 коп. в пользу администрации, 32 564 103 руб. 84 коп. в пользу министерства.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Решением Арбитражного суда Чувашской Республики - Чувашии от 24 октября 2024 г.,</w:t>
      </w:r>
      <w:r>
        <w:t xml:space="preserve"> оставленным без изменения постановлением Первого арбитражного апелляционного суда от 31 марта 2025 г. и постановлением Арбитражного суда Волго-Вятского округа от 5 ноября 2025 г., иск удовлетворен частично: с общества в пользу администрации взыскано 8 088</w:t>
      </w:r>
      <w:r>
        <w:t xml:space="preserve"> 629 руб. 2 коп., в пользу министерства - 32 392 695 руб. 57 коп.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Определением судьи Верховного Суда Российской Федерации от 15 декабря 2025 г. N 301-ЭС25-14195 в передаче жалобы ООО "Дорстар"</w:t>
      </w:r>
      <w:r>
        <w:t xml:space="preserve"> для рассмотрения в судебном заседании Судебной коллегии по экономическим спорам Верховного Суда Российской Федерации отказано.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Определением заместителя Председателя Верховного Суда Российской Федерации Крупнова И.В. от 10 августа 2026 г. определение судьи</w:t>
      </w:r>
      <w:r>
        <w:t xml:space="preserve"> отменено, кассационная жалоба общества передана для рассмотрения в судебном заседании Судебной коллегии по экономическим спорам Верховного Суда Российской Федерации.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отзыве на кассационную жалобу прокуратура Чувашской Республики просит оставить обжалуем</w:t>
      </w:r>
      <w:r>
        <w:t>ые судебные акты без изменения и рассмотреть кассационную жалобу без участия прокурора.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</w:t>
      </w:r>
      <w:r>
        <w:t>в, Судебная коллегия Верховного Суда Российской Федерации полагает, что кассационная жалоба общества подлежит удовлетворению, а судебные акты судов трех инстанций - отмене по следующим основаниям.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Как установлено судами и следует из материалов дела, 29 дек</w:t>
      </w:r>
      <w:r>
        <w:t>абря 2022 г. муниципальным казенным учреждением "Управление жилищно-коммунального хозяйства и благоустройства" города Чебоксары (заказчик; далее - учреждение) и обществом (подрядчик) заключен муниципальный контракт N 132/10-22 на выполнение работ по разраб</w:t>
      </w:r>
      <w:r>
        <w:t>отке проектной документации, капитальному ремонту и содержанию Лапсарского проезда в городе Чебоксары (контракт жизненного цикла) общей стоимостью 695 155 788 руб. 81 коп., в том числе НДС по налоговой ставке 20%.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контракте стороны предусмотрели, что опл</w:t>
      </w:r>
      <w:r>
        <w:t>ата выполненных работ производится путем безналичного расчета в течение семи рабочих дней с даты подписания заказчиком документов о приемке выполненных работ, предусмотренных разделом 4 контракта. Авансовый платеж в размере 50% от цены контракта осуществля</w:t>
      </w:r>
      <w:r>
        <w:t>ется заказчиком в течение 30 дней с даты заключения контракта на основании счета, предоставленного подрядчиком (пункт 2.4).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lastRenderedPageBreak/>
        <w:t>Во исполнение условий контракта заказчик платежными поручениями от 10 февраля 2023 г. N 326503 и N 328508, от 13 февраля 2023 г. N 3</w:t>
      </w:r>
      <w:r>
        <w:t>30948 и N 330949 произвел оплату авансовых платежей в общей сумме 347 577 894 руб. 40 коп. на специальный счет ООО "Дорстар".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Вступившим в законную силу решением Арбитражного суда Чувашской Республики - Чувашии от 15 декабря 2023 г. по делу N А79-5105/2023</w:t>
      </w:r>
      <w:r>
        <w:t xml:space="preserve"> контракт от 29 декабря 2022 г. N 132/10-22, заключенный между учреждением и обществом, признан недействительным (ничтожным); применены последствия недействительности сделки в виде взыскания с общества в пользу муниципального образования - города Чебоксары</w:t>
      </w:r>
      <w:r>
        <w:t xml:space="preserve"> Чувашской Республики в лице администрации 69 515 578 руб. 88 коп., в пользу Чувашской Республики в лице Министерства финансов Чувашской Республики - 278 062 315 руб. 52 коп.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Считая отсутствующими основания для получения и удержания обществом денежных сред</w:t>
      </w:r>
      <w:r>
        <w:t>ств, полученных в качестве исполнения по ничтожной сделке, заместитель прокурора Чувашской Республики обратился с настоящим иском в арбитражный суд.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Рассматривая спор, суд первой инстанции, руководствуясь положениями статей 395, 1102, 1103, 1107 Гражданско</w:t>
      </w:r>
      <w:r>
        <w:t>го кодекса Российской Федерации (далее - Гражданский кодекс), статей 6, 242.14, 242.25, 242.26 Бюджетного кодекса Российской Федерации (далее - Бюджетный кодекс), разъяснениями, изложенными в постановлении Пленума Верховного Суда Российской Федерации от 24</w:t>
      </w:r>
      <w:r>
        <w:t xml:space="preserve"> марта 2016 г. N 7 "О применении судами некоторых положений Гражданского кодекса Российской Федерации об ответственности за нарушение обязательств" (далее - постановление Пленума от 24 марта 2016 г. N 7), принимая во внимание обстоятельства, установленные </w:t>
      </w:r>
      <w:r>
        <w:t>вступившим в законную силу решением суда по делу N А79-5105/2023, скорректировав размер подлежащих взысканию процентов за пользование чужими денежными средствами, пришел к выводу о наличии правовых оснований для частичного удовлетворения заявленных требова</w:t>
      </w:r>
      <w:r>
        <w:t>ний.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 выводом суда согласились суды апелляционной и кассационной инстанций.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Судебные инстанции исходили из того, что обществу было известно об основаниях ничтожности сделки в момент подписания контракта от 29 декабря 2022 г. и с этого момента оно неправом</w:t>
      </w:r>
      <w:r>
        <w:t>ерно получило и использовало денежные средства. В то же время министерство и администрация были лишены возможности направить спорную сумму денежных средств на реализацию иных приоритетных государственных задач местного или федерального значения.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При этом с</w:t>
      </w:r>
      <w:r>
        <w:t>уды критически отнеслись к доводу общества об отсутствии возможности распорядиться денежными средствами ввиду их нахождения на лицевом счете, выплаты с которого должны происходить под казначейским сопровождением.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Между тем судами трех инстанций не учтено с</w:t>
      </w:r>
      <w:r>
        <w:t>ледующее.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силу подпункта 1 статьи 1103 Гражданского кодекса к требованиям о возврате исполненного по недействительной сделке подлежат применению правила, предусмотренные главой 60 Гражданского кодекса "Обязательства вследствие неосновательного обогащения</w:t>
      </w:r>
      <w:r>
        <w:t>", если иное не установлено Гражданским кодексом, другими законами или иными правовыми актами и не вытекает из существа соответствующих отношений.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Пунктом 1 статьи 1102 Гражданского кодекса предусмотрено, что лицо, которое без установленных законом, иными </w:t>
      </w:r>
      <w:r>
        <w:t>правовыми актами или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обогащение), за исключением с</w:t>
      </w:r>
      <w:r>
        <w:t>лучаев, предусмотренных статьей 1109 Гражданского кодекса.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Указанная норма обеспечивает защиту и восстановление имущественных прав участников гражданского оборота, а также соблюдение справедливого баланса их прав и законных интересов.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Для возникновения обя</w:t>
      </w:r>
      <w:r>
        <w:t>зательств из неосновательного обогащения необходимо установление обогащения одного лица за счет другого при отсутствии к тому законных оснований или последующем их отпадении. При этом не имеет значения, явилось ли неосновательное обогащение результатом пов</w:t>
      </w:r>
      <w:r>
        <w:t>едения обогатившегося, самого потерпевшего или третьих лиц либо произошло помимо их воли (пункт 2 статьи 1102 Гражданского кодекса).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силу статьи 1107 Гражданского кодекса лицо, которое неосновательно получило или сберегло имущество, обязано возвратить ил</w:t>
      </w:r>
      <w:r>
        <w:t>и возместить потерпевшему все доходы, которые оно извлекло или должно было извлечь из этого имущества с того времени, когда узнало или должно было узнать о неосновательности обогащения (пункт 1).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На сумму неосновательного денежного обогащения подлежат начи</w:t>
      </w:r>
      <w:r>
        <w:t>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 (пункт 2).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соответствии с пунктом 1 статьи 395 Гражданского кодекс</w:t>
      </w:r>
      <w:r>
        <w:t>а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</w:t>
      </w:r>
      <w:r>
        <w:t>равила применяются, если иной размер процентов не установлен законом или договором.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Согласно разъяснениям, изложенным в пункте 55 постановления Пленума от 24 марта 2016 г. N 7, если недействительная сделка исполнена обеими сторонами, то при рассмотрении ис</w:t>
      </w:r>
      <w:r>
        <w:t>ка о применении последствий ее недействительности необходимо учитывать, что, по смыслу пункта 2 статьи 167 Гражданского кодекса, произведенные сторонами взаимные предоставления считаются равными, пока не доказано иное, и их возврат должен производиться одн</w:t>
      </w:r>
      <w:r>
        <w:t>овременно, в связи с чем проценты, установленные статьей 395 Гражданского кодекса, на суммы возвращаемых денежных средств не начисляются.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В то же время при наличии доказательств, подтверждающих, что полученная одной из сторон денежная сумма явно превышает </w:t>
      </w:r>
      <w:r>
        <w:t>стоимость переданного другой стороне, к отношениям сторон могут быть применены нормы о неосновательном обогащении (подпункт 1 статьи 1103, статья 1107 Гражданского кодекса). В таком случае на разницу между указанной суммой и суммой, эквивалентной стоимости</w:t>
      </w:r>
      <w:r>
        <w:t xml:space="preserve"> переданного другой стороне, начисляются проценты, предусмотренные статьей 395 Гражданского кодекса, с момента, когда приобретатель узнал или должен был узнать о неосновательности получения или сбережения денежных средств.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Как разъяснено в пункте 7 информа</w:t>
      </w:r>
      <w:r>
        <w:t>ционного письма Президиума Высшего Арбитражного Суда Российской Федерации от 11 января 2000 г. N 49 "Обзор практики рассмотрения споров, связанных с применением норм о неосновательном обогащении", денежные средства, уплаченные за пользование имуществом, пр</w:t>
      </w:r>
      <w:r>
        <w:t>едоставленным по недействительному договору, могут считаться неосновательно полученными лишь в части, превышающей размер причитающегося собственнику имущества возмещения.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Изложенные правовые позиции основываются на том, что в силу пункта 1 статьи 1102 Граж</w:t>
      </w:r>
      <w:r>
        <w:t>данского кодекса необходимым условием возникновения кондикционного обязательства является прежде всего факт обогащения одного лица за счет другого, тогда как в условиях эквивалентного обмена имущественными благами между двумя лицами обогащение на стороне к</w:t>
      </w:r>
      <w:r>
        <w:t>ого-либо из них отсутствует.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силу природы гражданско-правовых отношений возможность применения санкции, предусмотренной пунктом 1 статьи 395 Гражданского кодекса, является элементом механизма возмещения убытков, причиненных кредитору неправомерным пользо</w:t>
      </w:r>
      <w:r>
        <w:t>ванием его денежными средствами, фактически устанавливает минимальный предел такого возмещения и с учетом его места в системе действующего правового регулирования направлено на защиту имущественных интересов лица, чьи денежные средства незаконно удерживали</w:t>
      </w:r>
      <w:r>
        <w:t>сь.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Правовая природа авансового платежа связана с предварительной оплатой заказчиком подрядчику определенной денежной суммы в счет предстоящих платежей за выполняемые работы (пункт 1 статьи 487 Гражданского кодекса).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Как установлено судами, представленными</w:t>
      </w:r>
      <w:r>
        <w:t xml:space="preserve"> в материалы дела платежными поручениями подтверждается факт перечисления заказчиком подрядчику за счет средств муниципального и республиканского бюджетов авансовых платежей, предусмотренных муниципальным контрактом, признанным судом недействительным (ничт</w:t>
      </w:r>
      <w:r>
        <w:t>ожным).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При этом перечисление средств осуществлялось на специальный счет, открытый ООО "Дорстар"</w:t>
      </w:r>
      <w:r>
        <w:t xml:space="preserve"> для учета целевых денежных средств территориальным органом Федерального казначейства в Отделении-НБ Чувашская Республика Банка России//УФК по Чувашской Республике, город Чебоксары.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Согласно приложению N 1 к дополнительному соглашению от 10 апреля 2023 г. </w:t>
      </w:r>
      <w:r>
        <w:t>N 3 по контракту осуществлялось казначейское сопровождение целевых средств в соответствии с решением Чебоксарского городского Собрания депутатов от 22 декабря 2022 г. N 1020 "О бюджете муниципального образования города Чебоксары - столицы Чувашской Республ</w:t>
      </w:r>
      <w:r>
        <w:t>ики на 2023 и на плановый период 2024 и 2025 годов" и иными нормативно-правовыми актами (пункт 13.1).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названном приложении предусмотрено, что операции с целевыми средствами осуществляются на счетах, открытых территориальным органом Федерального казначейс</w:t>
      </w:r>
      <w:r>
        <w:t>тва в учреждениях Центрального банка Российской Федерации для учета денежных средств юридических лиц, не являющихся участниками бюджетного процесса. Операции по зачислению и списанию целевых средств на счетах отражаются на лицевых счетах, предназначенных д</w:t>
      </w:r>
      <w:r>
        <w:t>ля учета операций со средствами юридических лиц, не являющихся участниками бюджетного процесса, открываемых юридическим лицам, получающим целевые средства, в территориальных органах Федерального казначейства в порядке, установленном Федеральным казначейств</w:t>
      </w:r>
      <w:r>
        <w:t>ом (пункты 13.2 и 13.3).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Наряду с этим в соответствии с условиями муниципального контракта в редакции дополнительного соглашения N 3 подрядчик не имел права самостоятельно распоряжаться денежными средствами, полученными в качестве авансового платежа по муниципальному контракту, в </w:t>
      </w:r>
      <w:r>
        <w:t>частности, осуществлять перечисление целевых средств на свои счета, открытые в учреждении Центрального банка Российской Федерации. Перечисление средств с казначейского счета было возможно только на цели, предусмотренные муниципальным контрактом (пункт 13.6</w:t>
      </w:r>
      <w:r>
        <w:t>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Учитывая сложившийся порядок проведения платежей, спорные денежные средства были перечислены не на расчетный счет общества, а на лицевой счет финансового управления, в связи с чем у подрядчика отсутствовала возможность их использования. Денежные средств</w:t>
      </w:r>
      <w:r>
        <w:t>а, перечисленные в качестве аванса по государственному контракту и учтенные на лицевом счете общества, открытом в территориальном органе Федерального казначейства, до санкционирования операций по списанию продолжали оставаться бюджетными денежными средства</w:t>
      </w:r>
      <w:r>
        <w:t>ми и не подлежали использованию иначе, как в порядке, предусмотренном нормативными правовыми актами, регулирующими вопросы казначейского сопровождения.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При этом распоряжение средствами было ограничено требованиями закона, а именно положениями пункта 3 стат</w:t>
      </w:r>
      <w:r>
        <w:t>ьи 242.23 Бюджетного кодекса.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Казначейское сопровождение является инструментом, направленным на защиту интересов государства при предоставлении средств из бюджета путем их предоставления исключительно при наличии фактической потребности и последующем подтв</w:t>
      </w:r>
      <w:r>
        <w:t>ерждении их использования в соответствии с условиями и (или) целями предоставления данных средств, а также на защиту от риска роста дебиторской задолженности по расходам бюджетов бюджетной системы Российской Федерации и риска возможных недобросовестных дей</w:t>
      </w:r>
      <w:r>
        <w:t>ствий со стороны поставщиков (подрядчиков, исполнителей), в том числе невозврата в бюджеты бюджетной системы Российской Федерации денежных средств при неисполнении поставщиком (подрядчиком, исполнителем) обязательств по договору, контракту, соглашению.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с</w:t>
      </w:r>
      <w:r>
        <w:t>оответствии с положениями статьи 242.23 Бюджетного кодекса казначейскому сопровождению подлежат средства, источником финансового обеспечения которых является федеральный бюджет, предоставляемые с целью исполнения обязательств по заключенным с участниками к</w:t>
      </w:r>
      <w:r>
        <w:t>азначейского сопровождения: государственным контрактам о поставке товаров, выполнении работ, оказании услуг (пункт 1); операции со средствами, подлежащими казначейскому сопровождению, осуществляются на казначейских счетах, открытых в территориальных органа</w:t>
      </w:r>
      <w:r>
        <w:t>х Федерального казначейства, и отражаются на лицевых счетах участника казначейского сопровождения (пункт 2).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Территориальные органы Федерального казначейства осуществляют казначейское сопровождение в соответствии с Правилами казначейского сопровождения, ус</w:t>
      </w:r>
      <w:r>
        <w:t>тановленными постановлением Правительства Российской Федерации от 24 ноября 2021 г. N 2024 "О правилах казначейского сопровождения" (далее - Правила N 2024), в рамках которого ведутся и используются лицевые счета с соблюдением положений, определенных пункт</w:t>
      </w:r>
      <w:r>
        <w:t>ом 3 статьи 242.23 Бюджетного кодекса, а также пунктами 10 - 12 Правил N 2024.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Подпунктом "б" пункта 10 Правил N 2024 предусмотрено, что при казначейском сопровождении ведение и использование лицевого счета (режим лицевого счета) предусматривают соблюдение</w:t>
      </w:r>
      <w:r>
        <w:t xml:space="preserve"> в том числе условий об осуществлении санкционирования расходов, источником финансового обеспечения которых являются средства, подлежащие казначейскому сопровождению, в соответствии с представляемыми участниками казначейского сопровождения в территориальны</w:t>
      </w:r>
      <w:r>
        <w:t>е органы Федерального казначейства сведениями об операциях с целевыми средствами, сформированными и утвержденными в порядке и по форме, предусмотренными порядком санкционирования операций со средствами участников казначейского сопровождения.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Федеральное ка</w:t>
      </w:r>
      <w:r>
        <w:t>значейство осуществляет санкционирование операций со средствами участников казначейского сопровождения в соответствии с Порядком осуществления территориальными органами Федерального казначейства санкционирования операций со средствами участников казначейск</w:t>
      </w:r>
      <w:r>
        <w:t>ого сопровождения, утвержденным приказом Минфина России от 17 декабря 2021 г. N 214н (далее - Порядок N 214н), содержащим, в том числе положения об осуществлении операций на лицевом счете после проверки информации о суммах и направлениях использования сред</w:t>
      </w:r>
      <w:r>
        <w:t>ств, указанной в распоряжении, на ее соответствие информации, содержащейся в государственном контракте и документах, подтверждающих возникновение денежных обязательств участника казначейского сопровождения (пункт 4 статьи 242.23 Бюджетного кодекса).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Из пол</w:t>
      </w:r>
      <w:r>
        <w:t>ожений статьи 242.23 Бюджетного кодекса следует, что операции с целевыми средствами осуществляются на казначейских счетах, открытых в территориальных органах Федерального казначейства, и отражаются на лицевых счетах участника казначейского сопровождения по</w:t>
      </w:r>
      <w:r>
        <w:t>сле проведения территориальным органом Федерального казначейства санкционирования в соответствии с порядком, установленным нормативным правовым актом Министерства финансов Российской Федерации.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Как указывает общество и не оспаривалось лицами, участвующими </w:t>
      </w:r>
      <w:r>
        <w:t xml:space="preserve">в деле, после признания контракта недействительным полученный авансовый платеж во исполнение муниципального контракта был полностью возвращен заказчику. Доказательств того, что имело место превышение размера перечисленных подрядчику авансовых платежей над </w:t>
      </w:r>
      <w:r>
        <w:t>размером причитающегося возмещения, материалы дела не содержат и судами таких обстоятельств не установлено.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 xml:space="preserve">Исходя из установленных обстоятельств по делу, на денежные средства, находящиеся на специальном казначейском счете подрядчика (в случае их целевого </w:t>
      </w:r>
      <w:r>
        <w:t>учета, например, для учета средств участников казначейского сопровождения или бюджетных/автономных учреждений), проценты за пользование не подлежали начислению, поскольку такой счет создан был исключительно для целевого учета и контроля, а не для размещени</w:t>
      </w:r>
      <w:r>
        <w:t>я средств с доходом.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С учетом изложенного на общество не может быть возложена предусмотренная статьей 395 Гражданского кодекса ответственность, направленная на защиту имущественных интересов лица, чьи денежные средства незаконно использовались (удерживалис</w:t>
      </w:r>
      <w:r>
        <w:t>ь).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При таком положении вывод судов о наличии оснований для удовлетворения требований о взыскании с общества процентов за пользование чужими денежными средствами не соответствует подлежащим применению нормам права.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этой связи Судебная коллегия Верховного</w:t>
      </w:r>
      <w:r>
        <w:t xml:space="preserve"> Суда Российской Федерации полагает необходимым состоявшиеся по делу судебные акты судов первой, апелляционной и кассационной инстанций отменить на основании части 1 статьи 291.11 Арбитражного процессуального кодекса Российской Федерации и, не передавая де</w:t>
      </w:r>
      <w:r>
        <w:t>ло на новое рассмотрение, принять новое решение об отказе в удовлетворении заявленных требований, поскольку все обстоятельства, имеющие значение для правильного разрешения спора, установлены, но судами допущено неправильное применение норм материального пр</w:t>
      </w:r>
      <w:r>
        <w:t>ава.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Руководствуясь статьями 291.11 - 291.14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 w:rsidR="000B2636" w:rsidRDefault="000B2636">
      <w:pPr>
        <w:pStyle w:val="ConsPlusNormal"/>
        <w:jc w:val="center"/>
      </w:pPr>
    </w:p>
    <w:p w:rsidR="000B2636" w:rsidRDefault="00645D87">
      <w:pPr>
        <w:pStyle w:val="ConsPlusNormal"/>
        <w:jc w:val="center"/>
      </w:pPr>
      <w:r>
        <w:t>определила:</w:t>
      </w:r>
    </w:p>
    <w:p w:rsidR="000B2636" w:rsidRDefault="000B2636">
      <w:pPr>
        <w:pStyle w:val="ConsPlusNormal"/>
        <w:jc w:val="center"/>
      </w:pPr>
    </w:p>
    <w:p w:rsidR="000B2636" w:rsidRDefault="00645D87">
      <w:pPr>
        <w:pStyle w:val="ConsPlusNormal"/>
        <w:ind w:firstLine="540"/>
        <w:jc w:val="both"/>
      </w:pPr>
      <w:r>
        <w:t>решение Арбитражного суда Чувашской Республики - Чувашии от</w:t>
      </w:r>
      <w:r>
        <w:t xml:space="preserve"> 24 октября 2024 г., постановление Первого арбитражного апелляционного суда от 31 марта 2025 г. и постановление Арбитражного суда Волго-Вятского округа от 5 ноября 2025 г. по делу N А79-5595/2024 отменить.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В удовлетворении иска заместителя прокурора Чувашс</w:t>
      </w:r>
      <w:r>
        <w:t>кой Республики отказать.</w:t>
      </w:r>
    </w:p>
    <w:p w:rsidR="000B2636" w:rsidRDefault="00645D87">
      <w:pPr>
        <w:pStyle w:val="ConsPlusNormal"/>
        <w:spacing w:before="240"/>
        <w:ind w:firstLine="540"/>
        <w:jc w:val="both"/>
      </w:pPr>
      <w:r>
        <w:t>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срок.</w:t>
      </w:r>
    </w:p>
    <w:p w:rsidR="000B2636" w:rsidRDefault="000B2636">
      <w:pPr>
        <w:pStyle w:val="ConsPlusNormal"/>
        <w:ind w:firstLine="540"/>
        <w:jc w:val="both"/>
      </w:pPr>
    </w:p>
    <w:p w:rsidR="000B2636" w:rsidRDefault="00645D87">
      <w:pPr>
        <w:pStyle w:val="ConsPlusNormal"/>
        <w:jc w:val="right"/>
      </w:pPr>
      <w:r>
        <w:t>Председательствующий судья</w:t>
      </w:r>
    </w:p>
    <w:p w:rsidR="000B2636" w:rsidRDefault="00645D87">
      <w:pPr>
        <w:pStyle w:val="ConsPlusNormal"/>
        <w:jc w:val="right"/>
      </w:pPr>
      <w:r>
        <w:t>М.К.АНТОНОВА</w:t>
      </w:r>
    </w:p>
    <w:p w:rsidR="000B2636" w:rsidRDefault="000B2636">
      <w:pPr>
        <w:pStyle w:val="ConsPlusNormal"/>
        <w:jc w:val="right"/>
      </w:pPr>
    </w:p>
    <w:p w:rsidR="000B2636" w:rsidRDefault="00645D87">
      <w:pPr>
        <w:pStyle w:val="ConsPlusNormal"/>
        <w:jc w:val="right"/>
      </w:pPr>
      <w:r>
        <w:t>Судья</w:t>
      </w:r>
    </w:p>
    <w:p w:rsidR="000B2636" w:rsidRDefault="00645D87">
      <w:pPr>
        <w:pStyle w:val="ConsPlusNormal"/>
        <w:jc w:val="right"/>
      </w:pPr>
      <w:r>
        <w:t>Р.А.ХАТЫПОВА</w:t>
      </w:r>
    </w:p>
    <w:p w:rsidR="000B2636" w:rsidRDefault="000B2636">
      <w:pPr>
        <w:pStyle w:val="ConsPlusNormal"/>
        <w:jc w:val="right"/>
      </w:pPr>
    </w:p>
    <w:p w:rsidR="000B2636" w:rsidRDefault="00645D87">
      <w:pPr>
        <w:pStyle w:val="ConsPlusNormal"/>
        <w:jc w:val="right"/>
      </w:pPr>
      <w:r>
        <w:t>Судья</w:t>
      </w:r>
    </w:p>
    <w:p w:rsidR="000B2636" w:rsidRDefault="00645D87">
      <w:pPr>
        <w:pStyle w:val="ConsPlusNormal"/>
        <w:jc w:val="right"/>
      </w:pPr>
      <w:r>
        <w:t>А.А.ЯКИМОВ</w:t>
      </w:r>
    </w:p>
    <w:p w:rsidR="000B2636" w:rsidRDefault="000B2636">
      <w:pPr>
        <w:pStyle w:val="ConsPlusNormal"/>
        <w:ind w:firstLine="540"/>
        <w:jc w:val="both"/>
      </w:pPr>
    </w:p>
    <w:p w:rsidR="000B2636" w:rsidRDefault="000B2636">
      <w:pPr>
        <w:pStyle w:val="ConsPlusNormal"/>
        <w:ind w:firstLine="540"/>
        <w:jc w:val="both"/>
      </w:pPr>
    </w:p>
    <w:p w:rsidR="000B2636" w:rsidRDefault="000B263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B2636" w:rsidSect="000B2636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D87" w:rsidRDefault="00645D87" w:rsidP="000B2636">
      <w:r>
        <w:separator/>
      </w:r>
    </w:p>
  </w:endnote>
  <w:endnote w:type="continuationSeparator" w:id="0">
    <w:p w:rsidR="00645D87" w:rsidRDefault="00645D87" w:rsidP="000B2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36" w:rsidRDefault="000B263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0B26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B2636" w:rsidRDefault="00645D8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B2636" w:rsidRDefault="000B2636">
          <w:pPr>
            <w:pStyle w:val="ConsPlusNormal"/>
            <w:jc w:val="center"/>
          </w:pPr>
          <w:hyperlink r:id="rId1">
            <w:r w:rsidR="00645D87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B2636" w:rsidRDefault="00645D87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0B2636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0B2636">
            <w:fldChar w:fldCharType="separate"/>
          </w:r>
          <w:r w:rsidR="00154D89">
            <w:rPr>
              <w:rFonts w:ascii="Tahoma" w:hAnsi="Tahoma" w:cs="Tahoma"/>
              <w:noProof/>
            </w:rPr>
            <w:t>2</w:t>
          </w:r>
          <w:r w:rsidR="000B2636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0B2636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0B2636">
            <w:fldChar w:fldCharType="separate"/>
          </w:r>
          <w:r w:rsidR="00154D89">
            <w:rPr>
              <w:rFonts w:ascii="Tahoma" w:hAnsi="Tahoma" w:cs="Tahoma"/>
              <w:noProof/>
            </w:rPr>
            <w:t>2</w:t>
          </w:r>
          <w:r w:rsidR="000B2636">
            <w:fldChar w:fldCharType="end"/>
          </w:r>
        </w:p>
      </w:tc>
    </w:tr>
  </w:tbl>
  <w:p w:rsidR="000B2636" w:rsidRDefault="00645D87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636" w:rsidRDefault="000B2636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0B2636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0B2636" w:rsidRDefault="00645D87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0B2636" w:rsidRDefault="000B2636">
          <w:pPr>
            <w:pStyle w:val="ConsPlusNormal"/>
            <w:jc w:val="center"/>
          </w:pPr>
          <w:hyperlink r:id="rId1">
            <w:r w:rsidR="00645D87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0B2636" w:rsidRDefault="00645D87">
          <w:pPr>
            <w:pStyle w:val="ConsPlusNormal"/>
          </w:pPr>
          <w:r>
            <w:rPr>
              <w:rFonts w:ascii="Tahoma" w:hAnsi="Tahoma" w:cs="Tahoma"/>
            </w:rPr>
            <w:t xml:space="preserve">Страница </w:t>
          </w:r>
          <w:r w:rsidR="000B2636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0B2636">
            <w:fldChar w:fldCharType="separate"/>
          </w:r>
          <w:r w:rsidR="00154D89">
            <w:rPr>
              <w:rFonts w:ascii="Tahoma" w:hAnsi="Tahoma" w:cs="Tahoma"/>
              <w:noProof/>
            </w:rPr>
            <w:t>1</w:t>
          </w:r>
          <w:r w:rsidR="000B2636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0B2636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0B2636">
            <w:fldChar w:fldCharType="separate"/>
          </w:r>
          <w:r w:rsidR="00154D89">
            <w:rPr>
              <w:rFonts w:ascii="Tahoma" w:hAnsi="Tahoma" w:cs="Tahoma"/>
              <w:noProof/>
            </w:rPr>
            <w:t>3</w:t>
          </w:r>
          <w:r w:rsidR="000B2636">
            <w:fldChar w:fldCharType="end"/>
          </w:r>
        </w:p>
      </w:tc>
    </w:tr>
  </w:tbl>
  <w:p w:rsidR="000B2636" w:rsidRDefault="00645D87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D87" w:rsidRDefault="00645D87" w:rsidP="000B2636">
      <w:r>
        <w:separator/>
      </w:r>
    </w:p>
  </w:footnote>
  <w:footnote w:type="continuationSeparator" w:id="0">
    <w:p w:rsidR="00645D87" w:rsidRDefault="00645D87" w:rsidP="000B2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0B263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B2636" w:rsidRDefault="00645D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Определение Судебной коллегии по экономическим спорам Верховного Суда Российской Федерации от 01.09.2026 N 301-ЭС25-14195 по делу N А79-5595/2024</w:t>
          </w:r>
        </w:p>
      </w:tc>
      <w:tc>
        <w:tcPr>
          <w:tcW w:w="2300" w:type="pct"/>
          <w:vAlign w:val="center"/>
        </w:tcPr>
        <w:p w:rsidR="000B2636" w:rsidRDefault="00645D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0B2636" w:rsidRDefault="000B263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0B2636" w:rsidRDefault="000B2636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0B2636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0B2636" w:rsidRDefault="00645D87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i="http://schemas.microsoft.com/office/word/2010/wordprocessingInk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Определение Судебной коллегии по экономическим спорам Верховного Суда Российской Федерации от 01.09.2026 N 301-ЭС25-14195 </w:t>
          </w:r>
          <w:r>
            <w:rPr>
              <w:rFonts w:ascii="Tahoma" w:hAnsi="Tahoma" w:cs="Tahoma"/>
              <w:sz w:val="16"/>
              <w:szCs w:val="16"/>
            </w:rPr>
            <w:t>по делу N А79-5595/2024</w:t>
          </w:r>
        </w:p>
      </w:tc>
      <w:tc>
        <w:tcPr>
          <w:tcW w:w="2300" w:type="pct"/>
          <w:vAlign w:val="center"/>
        </w:tcPr>
        <w:p w:rsidR="000B2636" w:rsidRDefault="00645D87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0B2636" w:rsidRDefault="000B2636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0B2636" w:rsidRDefault="000B2636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636"/>
    <w:rsid w:val="000B2636"/>
    <w:rsid w:val="00154D89"/>
    <w:rsid w:val="00645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636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0B263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0B2636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0B2636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0B2636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0B2636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B263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0B2636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B2636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0B2636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154D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4D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3329</Words>
  <Characters>18979</Characters>
  <Application>Microsoft Office Word</Application>
  <DocSecurity>0</DocSecurity>
  <Lines>158</Lines>
  <Paragraphs>44</Paragraphs>
  <ScaleCrop>false</ScaleCrop>
  <Company>КонсультантПлюс Версия 4025.00.50</Company>
  <LinksUpToDate>false</LinksUpToDate>
  <CharactersWithSpaces>22264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экономическим спорам Верховного Суда Российской Федерации от 01.09.2026 N 301-ЭС25-14195 по делу N А79-5595/2024
Категория спора: Подряд для государственных и муниципальных нужд.
Требования: О взыскании процентов за пользование чужими денежными средствами.
Обстоятельства: Заместитель прокурора ссылается на то, что отсутствуют основания для получения и удержания обществом денежных средств.
Решение: В удовлетворении требования отказано, поскольку на денежные средства, находящи</dc:title>
  <dc:creator>Admin</dc:creator>
  <cp:lastModifiedBy>c400</cp:lastModifiedBy>
  <cp:revision>2</cp:revision>
  <dcterms:created xsi:type="dcterms:W3CDTF">2026-09-13T21:06:00Z</dcterms:created>
  <dcterms:modified xsi:type="dcterms:W3CDTF">2026-09-13T21:06:00Z</dcterms:modified>
</cp:coreProperties>
</file>