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АРБИТРАЖНЫЙ СУД ВОЛГО-ВЯТСКОГО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апреля 2026 г. по делу N А29-4765/2025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 апреля 2026 года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(дата изготовления постановления в полном объеме)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Резолютивная часть постановления объявлена 01 апреля 2026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Арбитражный суд Волго-Вятского округа в составе: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председательствующего Башевой Н.Ю.,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судей Александровой О.В., Забурдаевой И.Л.,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участии представителя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истца: Труфанова В.А. (поручение от 13.03.2026),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рассмотрел в судебном заседании кассационную жалобу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прокуратуры Республики Коми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</w:t>
      </w:r>
      <w:hyperlink w:history="0" r:id="rId3" w:tooltip="Ссылка на КонсультантПлюс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Арбитражного суда Республики Коми от 06.09.2025 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</w:t>
      </w:r>
      <w:hyperlink w:history="0" r:id="rId4" w:tooltip="Ссылка на КонсультантПлюс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Второго арбитражного апелляционного суда от 12.12.2025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делу N А29-4765/2025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иску прокуратуры Республики Коми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администрации муниципального района "Сыктывдинский" Республики Коми,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обществу с ограниченной ответственностью "Север-Альянс"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(ИНН: 1101136779, ОГРН: 1081101003543) 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индивидуальному предпринимателю Пешкину Михаилу Николаевичу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(ИНН: 111001001270, ОГРНИП: 322112100012637)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признании сделок недействительными и о взыскании денежных средств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установил: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первый заместитель прокурора Республики Коми обратился в Арбитражный суд Республики Коми (далее - Прокурор) с иском к администрации муниципального района "Сыктывдинский" Республики Коми (далее - Администрация), обществу с ограниченной ответственностью "Север-Альянс" (далее - Общество), индивидуальному предпринимателю Пешкину Михаилу Николаевичу (далее - Предприниматель) о признании недействительной (ничтожной) сделки, оформленной договорами от 15.07.2024 N 1083 и 1084, о взыскании с Предпринимателя в бюджет муниципального района "Сыктывдинский" 179 000 рублей, с Общества - 496 000 рублей.</w:t>
      </w:r>
    </w:p>
    <w:p>
      <w:pPr>
        <w:pStyle w:val="0"/>
        <w:spacing w:before="200" w:lineRule="auto"/>
        <w:ind w:firstLine="540"/>
        <w:jc w:val="both"/>
      </w:pPr>
      <w:hyperlink w:history="0" r:id="rId5" w:tooltip="Ссылка на КонсультантПлюс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Арбитражного суда Республики Коми от 06.09.2025 в удовлетворении иска отказано.</w:t>
      </w:r>
    </w:p>
    <w:p>
      <w:pPr>
        <w:pStyle w:val="0"/>
        <w:spacing w:before="200" w:lineRule="auto"/>
        <w:ind w:firstLine="540"/>
        <w:jc w:val="both"/>
      </w:pPr>
      <w:hyperlink w:history="0" r:id="rId6" w:tooltip="Ссылка на КонсультантПлюс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Второго арбитражного апелляционного суда от 12.12.2025 решение суда оставлено без изменения.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Прокурор не согласился с принятыми судебными актами и обратился в Арбитражный суд Волго-Вятского округа с кассационной жалобой.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жалобы считает, что суды неправильно применили нормы материального и процессуального права, неполно выяснили обстоятельства, имеющие значение для дела. По его мнению, ответчики осуществили искусственное дробление единой закупки для формального соблюдения ограничений, установленных Федеральным </w:t>
      </w:r>
      <w:hyperlink w:history="0" r:id="rId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44-ФЗ). Предметы заключенных договоров на выполнение работ по обустройству источника холодного водоснабжения и на установку ЧИП-колонки представляют в совокупности единое гидротехническое сооружение в виде устройства источника холодного водоснабжения, что могло быть исполнено самостоятельно любым из участников договоров. Отсутствие публичных процедур способствовало созданию преимущественного положения для Общества и Предпринимателя и лишило иных хозяйствующих субъектов возможности реализовать свое право на участие в закупке.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Подробно доводы заявителя изложены в кассационной жалобе и поддержаны представителем в судебном заседании.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Администрация в отзыве отклонила доводы жалобы и заявила ходатайства о ее рассмотрении в отсутствие представителя.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лица, участвующие в деле, надлежащим образом извещенные о времени и месте рассмотрения жалобы, отзывы на кассационную жалобу не представили, явку представителей в судебное заседание не обеспечили.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Законность принятых Арбитражным судом Республики Коми и Вторым арбитражным апелляционным судом решения и </w:t>
      </w:r>
      <w:hyperlink w:history="0" r:id="rId8" w:tooltip="Ссылка на КонсультантПлюс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проверена Арбитражным судом Волго-Вятского округа в порядке, установленном в </w:t>
      </w:r>
      <w:hyperlink w:history="0" r:id="rId9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статьях 274</w:t>
        </w:r>
      </w:hyperlink>
      <w:r>
        <w:rPr>
          <w:sz w:val="20"/>
        </w:rPr>
        <w:t xml:space="preserve">, </w:t>
      </w:r>
      <w:hyperlink w:history="0" r:id="rId10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284</w:t>
        </w:r>
      </w:hyperlink>
      <w:r>
        <w:rPr>
          <w:sz w:val="20"/>
        </w:rPr>
        <w:t xml:space="preserve"> и </w:t>
      </w:r>
      <w:hyperlink w:history="0" r:id="rId11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286</w:t>
        </w:r>
      </w:hyperlink>
      <w:r>
        <w:rPr>
          <w:sz w:val="20"/>
        </w:rPr>
        <w:t xml:space="preserve"> Арбитражного процессуального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Как следует из материалов дела и установили суды, Администрация (заказчик) и Предприниматель (подрядчик) заключили договор от 15.07.2024 N 1083 на выполнение работ по установке ЧИП-колонки на территории деревня Малая Слуда Сыктывдинского района в соответствии с техническим заданием (приложение N 1) по цене 179 000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перечень видов работ согласно приложению N 1 входит комплект автоматики дозирования воды (1 штука) и павильон под шкаф автоматики (1 штука). Сроки выполнения работ - с даты заключения договора по 31.10.2024 (пункт 2 технического задания).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Расчеты между сторонами производятся не позднее десяти рабочих дней с даты подписания заказчиком документов о приемке акта выполненных работ (пункт 2.2.4 договора).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актом от 31.10.2024 N 1 подрядчик выполнил работы на сумму 179 000 рублей, которые заказчик оплатил полностью.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Администрация (заказчик) и Общество (подрядчик) заключили договор от 15.07.2024 N 1084 на выполнение работ по обустройству источника холодного водоснабжения на территории деревня Малая Слуда Сыктывдинского района в соответствии с техническим заданием (приложение N 1) по цене 496 000 рублей. Сроки выполнения работ - с даты заключения договора по 31.10.2024 (пункт 2 технического задания).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силу пункта 2.2.4 договора расчеты между сторонами производятся не позднее десяти рабочих дней с даты подписания заказчиком документов о приемке акта выполненных работ.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акту от 31.10.2024 N 1 подрядчик выполнил работы на сумму 496 000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Договоры заключены на основании </w:t>
      </w:r>
      <w:hyperlink w:history="0" r:id="rId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сультантПлюс}">
        <w:r>
          <w:rPr>
            <w:sz w:val="20"/>
            <w:color w:val="0000ff"/>
          </w:rPr>
          <w:t xml:space="preserve">пункта 4 части 1 статьи 93</w:t>
        </w:r>
      </w:hyperlink>
      <w:r>
        <w:rPr>
          <w:sz w:val="20"/>
        </w:rPr>
        <w:t xml:space="preserve"> Закона N 44-ФЗ, которым предусмотрена возможность закупки заказчиком у единственного поставщика (подрядчика, исполнителя) без проведения конкурентных процедур в случае осуществления закупки товара, работы или услуги на сумму, не превышающую шестисот тысяч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Прокурор, ссылаясь на то, что указанные договоры образуют единую сделку, искусственно раздробленную на два самостоятельных договора для формального соблюдения ограничений с целью уклонения от проведения конкурентной процедуры, обратился в арбитражный суд с настоящим иском.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13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статьями 166</w:t>
        </w:r>
      </w:hyperlink>
      <w:r>
        <w:rPr>
          <w:sz w:val="20"/>
        </w:rPr>
        <w:t xml:space="preserve">, </w:t>
      </w:r>
      <w:hyperlink w:history="0" r:id="rId14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168</w:t>
        </w:r>
      </w:hyperlink>
      <w:r>
        <w:rPr>
          <w:sz w:val="20"/>
        </w:rPr>
        <w:t xml:space="preserve">, </w:t>
      </w:r>
      <w:hyperlink w:history="0" r:id="rId15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sz w:val="20"/>
            <w:color w:val="0000ff"/>
          </w:rPr>
          <w:t xml:space="preserve">763</w:t>
        </w:r>
      </w:hyperlink>
      <w:r>
        <w:rPr>
          <w:sz w:val="20"/>
        </w:rPr>
        <w:t xml:space="preserve"> Гражданского кодекса Российской Федерации (далее - Кодекс), </w:t>
      </w:r>
      <w:hyperlink w:history="0" r:id="rId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сультантПлюс}">
        <w:r>
          <w:rPr>
            <w:sz w:val="20"/>
            <w:color w:val="0000ff"/>
          </w:rPr>
          <w:t xml:space="preserve">статьей 93</w:t>
        </w:r>
      </w:hyperlink>
      <w:r>
        <w:rPr>
          <w:sz w:val="20"/>
        </w:rPr>
        <w:t xml:space="preserve"> Закона N 44-ФЗ, разъяснениями, приведенными в </w:t>
      </w:r>
      <w:hyperlink w:history="0" r:id="rId17" w:tooltip="Постановление Пленума Верховного Суда РФ от 23.06.2015 N 25 &quot;О применении судами некоторых положений раздела I части первой Гражданского кодекса Российской Федерации&quot; {КонсультантПлюс}">
        <w:r>
          <w:rPr>
            <w:sz w:val="20"/>
            <w:color w:val="0000ff"/>
          </w:rPr>
          <w:t xml:space="preserve">постановлении</w:t>
        </w:r>
      </w:hyperlink>
      <w:r>
        <w:rPr>
          <w:sz w:val="20"/>
        </w:rPr>
        <w:t xml:space="preserve"> Пленума Верховного Суда Российской Федерации от 23.06.2015 N 25 "О применении судами некоторых положений раздела I части первой Гражданского кодекса Российской Федерации" (далее - Постановление N 25), в </w:t>
      </w:r>
      <w:hyperlink w:history="0" r:id="rId18" w:tooltip="&quot;Обзор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&quot; (утв. Президиумом Верховного Суда РФ 28.06.2017) {КонсультантПлюс}">
        <w:r>
          <w:rPr>
            <w:sz w:val="20"/>
            <w:color w:val="0000ff"/>
          </w:rPr>
          <w:t xml:space="preserve">Обзоре</w:t>
        </w:r>
      </w:hyperlink>
      <w:r>
        <w:rPr>
          <w:sz w:val="20"/>
        </w:rPr>
        <w:t xml:space="preserve"> судебной практики Верховного Суда Российской Федерации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утвержденном Президиумом Верховного Суда Российской Федерации от 28.06.2017, (далее - Обзор от 28.06.2017), Методическими </w:t>
      </w:r>
      <w:hyperlink w:history="0" r:id="rId19" w:tooltip="Приказ Минэкономразвития России от 02.10.2013 N 567 &quot;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&quot; {КонсультантПлюс}">
        <w:r>
          <w:rPr>
            <w:sz w:val="20"/>
            <w:color w:val="0000ff"/>
          </w:rPr>
          <w:t xml:space="preserve">рекомендациями</w:t>
        </w:r>
      </w:hyperlink>
      <w:r>
        <w:rPr>
          <w:sz w:val="20"/>
        </w:rPr>
        <w:t xml:space="preserve"> по применению методов определения начальной (максимальной) цены контракта, заключаемого с единственным поставщиком (подрядчиком, исполнителем), утвержденными приказом Минэкономразвития России от 02.10.2013 N 567 (далее - Методические рекомендации N 567), Арбитражный суд Республики Коми отказал в удовлетворении иска. Суд пришел к выводу о действительности сделок, поскольку заключение ответчиками оспариваемых договоров не противоречит </w:t>
      </w:r>
      <w:hyperlink w:history="0" r:id="rId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сультантПлюс}">
        <w:r>
          <w:rPr>
            <w:sz w:val="20"/>
            <w:color w:val="0000ff"/>
          </w:rPr>
          <w:t xml:space="preserve">Закону</w:t>
        </w:r>
      </w:hyperlink>
      <w:r>
        <w:rPr>
          <w:sz w:val="20"/>
        </w:rPr>
        <w:t xml:space="preserve"> N 44-ФЗ; доказательств, которые бы подтверждали, что Предприниматель и Общество при заключении договоров действовали умышленно в целях обхода закона не представлено.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Второй арбитражный апелляционный суд руководствовался этими же нормами, согласился с выводами суда первой инстанции и оставил решение суда без изменения.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Рассмотрев кассационную жалобу, Арбитражный суд Волго-Вятского округа не нашел оснований для ее удовлетворения.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силу </w:t>
      </w:r>
      <w:hyperlink w:history="0" r:id="rId21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пункта 1 статьи 166</w:t>
        </w:r>
      </w:hyperlink>
      <w:r>
        <w:rPr>
          <w:sz w:val="20"/>
        </w:rPr>
        <w:t xml:space="preserve"> Кодекса сделка может быть недействительной по основаниям, установленным законом, в силу признания ее таковой судом (оспоримая сделка) либо независимо от такого признания (ничтожная сделка).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22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пункту 2 статьи 168</w:t>
        </w:r>
      </w:hyperlink>
      <w:r>
        <w:rPr>
          <w:sz w:val="20"/>
        </w:rPr>
        <w:t xml:space="preserve"> Кодекса сделка,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лиц, ничтожна, если из закона не следует, что такая сделка оспорима или должны применяться другие последствия нарушения, не связанные с недействительностью сделки.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Сделка, при совершении которой был нарушен явно выраженный запрет, установленный законом, является ничтожной, как посягающая на публичные интересы. Применительно к </w:t>
      </w:r>
      <w:hyperlink w:history="0" r:id="rId23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статьям 166</w:t>
        </w:r>
      </w:hyperlink>
      <w:r>
        <w:rPr>
          <w:sz w:val="20"/>
        </w:rPr>
        <w:t xml:space="preserve"> и </w:t>
      </w:r>
      <w:hyperlink w:history="0" r:id="rId24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168</w:t>
        </w:r>
      </w:hyperlink>
      <w:r>
        <w:rPr>
          <w:sz w:val="20"/>
        </w:rPr>
        <w:t xml:space="preserve"> Кодекса под публичными интересами, в частности, следует понимать интересы неопределенного круга лиц, обеспечение безопасности жизни и здоровья граждан, а также обороны и безопасности государства, охраны окружающей природной среды (</w:t>
      </w:r>
      <w:hyperlink w:history="0" r:id="rId25" w:tooltip="Постановление Пленума Верховного Суда РФ от 23.06.2015 N 25 &quot;О применении судами некоторых положений раздела I части первой Гражданского кодекса Российской Федерации&quot; {КонсультантПлюс}">
        <w:r>
          <w:rPr>
            <w:sz w:val="20"/>
            <w:color w:val="0000ff"/>
          </w:rPr>
          <w:t xml:space="preserve">пункт 75</w:t>
        </w:r>
      </w:hyperlink>
      <w:r>
        <w:rPr>
          <w:sz w:val="20"/>
        </w:rPr>
        <w:t xml:space="preserve"> Постановления N 25).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6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sz w:val="20"/>
            <w:color w:val="0000ff"/>
          </w:rPr>
          <w:t xml:space="preserve">пунктом 1 статьи 763</w:t>
        </w:r>
      </w:hyperlink>
      <w:r>
        <w:rPr>
          <w:sz w:val="20"/>
        </w:rPr>
        <w:t xml:space="preserve"> Кодекса подрядные строительные работы (</w:t>
      </w:r>
      <w:hyperlink w:history="0" r:id="rId27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sz w:val="20"/>
            <w:color w:val="0000ff"/>
          </w:rPr>
          <w:t xml:space="preserve">статья 740</w:t>
        </w:r>
      </w:hyperlink>
      <w:r>
        <w:rPr>
          <w:sz w:val="20"/>
        </w:rPr>
        <w:t xml:space="preserve"> Кодекса), проектные и изыскательские работы (</w:t>
      </w:r>
      <w:hyperlink w:history="0" r:id="rId28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sz w:val="20"/>
            <w:color w:val="0000ff"/>
          </w:rPr>
          <w:t xml:space="preserve">статья 758</w:t>
        </w:r>
      </w:hyperlink>
      <w:r>
        <w:rPr>
          <w:sz w:val="20"/>
        </w:rPr>
        <w:t xml:space="preserve"> Кодекса), предназначенные для удовлетворения государственных или муниципальных нужд, осуществляются на основе государственного или муниципального контракта на выполнение подрядных работ для государственных или муниципальных нужд.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Отношения, связанные с заключением муниципальных контрактов на закупку товаров, работ, услуг, регулирует </w:t>
      </w:r>
      <w:hyperlink w:history="0" r:id="rId2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N 44-ФЗ.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Данным </w:t>
      </w:r>
      <w:hyperlink w:history="0" r:id="rId3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установлены правила осуществления государственными и муниципальными заказчиками закупок с использованием конкурентных процедур, а также перечень случаев, допускающих возможность совершения закупки неконкурентным способом, в том числе у единственного поставщика (подрядчика, исполнителя) по правилам </w:t>
      </w:r>
      <w:hyperlink w:history="0" r:id="rId3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сультантПлюс}">
        <w:r>
          <w:rPr>
            <w:sz w:val="20"/>
            <w:color w:val="0000ff"/>
          </w:rPr>
          <w:t xml:space="preserve">статьи 93</w:t>
        </w:r>
      </w:hyperlink>
      <w:r>
        <w:rPr>
          <w:sz w:val="20"/>
        </w:rPr>
        <w:t xml:space="preserve"> Закона N 44-ФЗ.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3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сультантПлюс}">
        <w:r>
          <w:rPr>
            <w:sz w:val="20"/>
            <w:color w:val="0000ff"/>
          </w:rPr>
          <w:t xml:space="preserve">части 1 статьи 8</w:t>
        </w:r>
      </w:hyperlink>
      <w:r>
        <w:rPr>
          <w:sz w:val="20"/>
        </w:rPr>
        <w:t xml:space="preserve"> Закона N 44-ФЗ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Запрещается совершение заказчиками, участниками закупок любых действий, которые противоречат требованиям данного </w:t>
      </w:r>
      <w:hyperlink w:history="0" r:id="rId3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, в том числе приводят к ограничению конкуренции, в частности к необоснованному ограничению числа участников закупок (</w:t>
      </w:r>
      <w:hyperlink w:history="0" r:id="rId3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сультантПлюс}">
        <w:r>
          <w:rPr>
            <w:sz w:val="20"/>
            <w:color w:val="0000ff"/>
          </w:rPr>
          <w:t xml:space="preserve">часть 2 статьи 8</w:t>
        </w:r>
      </w:hyperlink>
      <w:r>
        <w:rPr>
          <w:sz w:val="20"/>
        </w:rPr>
        <w:t xml:space="preserve"> Закона N 44-ФЗ).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силу </w:t>
      </w:r>
      <w:hyperlink w:history="0" r:id="rId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сультантПлюс}">
        <w:r>
          <w:rPr>
            <w:sz w:val="20"/>
            <w:color w:val="0000ff"/>
          </w:rPr>
          <w:t xml:space="preserve">пункта 4 части 1 статьи 93</w:t>
        </w:r>
      </w:hyperlink>
      <w:r>
        <w:rPr>
          <w:sz w:val="20"/>
        </w:rPr>
        <w:t xml:space="preserve"> Закона N 44-ФЗ заказчики вправе осуществлять закупку у единственного поставщика (подрядчика, исполнителя) на сумму, не превышающую шестисот тысяч рублей, либо закупку товара на сумму, предусмотренную </w:t>
      </w:r>
      <w:hyperlink w:history="0" r:id="rId3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сультантПлюс}">
        <w:r>
          <w:rPr>
            <w:sz w:val="20"/>
            <w:color w:val="0000ff"/>
          </w:rPr>
          <w:t xml:space="preserve">частью 12 данной статьи</w:t>
        </w:r>
      </w:hyperlink>
      <w:r>
        <w:rPr>
          <w:sz w:val="20"/>
        </w:rPr>
        <w:t xml:space="preserve">, если закупка осуществляется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годовой объем закупок, которые заказчик вправе осуществить на основании данного </w:t>
      </w:r>
      <w:hyperlink w:history="0" r:id="rId3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сультантПлюс}">
        <w:r>
          <w:rPr>
            <w:sz w:val="20"/>
            <w:color w:val="0000ff"/>
          </w:rPr>
          <w:t xml:space="preserve">пункта</w:t>
        </w:r>
      </w:hyperlink>
      <w:r>
        <w:rPr>
          <w:sz w:val="20"/>
        </w:rPr>
        <w:t xml:space="preserve">,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Государственный (муниципальный) контракт, заключенный с нарушением требований </w:t>
      </w:r>
      <w:hyperlink w:history="0" r:id="rId3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44-ФЗ и влекущий, в частности, нарушение принципов открытости, прозрачности, ограничение конкуренции, необоснованное ограничение числа участников закупки, а, следовательно, посягающий на публичные интересы и (или) права и законные интересы третьих лиц, является ничтожным (</w:t>
      </w:r>
      <w:hyperlink w:history="0" r:id="rId39" w:tooltip="&quot;Обзор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&quot; (утв. Президиумом Верховного Суда РФ 28.06.2017) {КонсультантПлюс}">
        <w:r>
          <w:rPr>
            <w:sz w:val="20"/>
            <w:color w:val="0000ff"/>
          </w:rPr>
          <w:t xml:space="preserve">пункт 18</w:t>
        </w:r>
      </w:hyperlink>
      <w:r>
        <w:rPr>
          <w:sz w:val="20"/>
        </w:rPr>
        <w:t xml:space="preserve"> Обзора от 28.06.2017).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силу </w:t>
      </w:r>
      <w:hyperlink w:history="0" r:id="rId40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части 1 статьи 65</w:t>
        </w:r>
      </w:hyperlink>
      <w:r>
        <w:rPr>
          <w:sz w:val="20"/>
        </w:rPr>
        <w:t xml:space="preserve"> Арбитражного процессуального кодекса Российской Федерации, каждое лицо, участвующее в деле, должно доказать обстоятельства, на которые оно ссылается в обоснование своих требований или возражений.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Арбитражный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 (</w:t>
      </w:r>
      <w:hyperlink w:history="0" r:id="rId41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часть 1 статьи 71</w:t>
        </w:r>
      </w:hyperlink>
      <w:r>
        <w:rPr>
          <w:sz w:val="20"/>
        </w:rPr>
        <w:t xml:space="preserve"> Арбитражного процессуального кодекса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Как видно из материалов дела и установили суды, Администрация и Предприниматель заключили договор N 1083 на выполнение работ по установке ЧИП-колонки, Администрация и Общество - договор N 1084 на выполнение работ по обустройству источника холодного водоснабжения на территории деревня Малая Слуда.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Прокурор, ссылаясь на тождественность предметов договоров, временной интервал их заключения, единую цель договоров, формирование цены с пороками, которые не позволяют выявить экономически обоснованную стоимость работ, полагал, что договоры образуют единую сделку, искусственно раздробленную и оформленную самостоятельными договорами для формального соблюдения ограничений, предусмотренных </w:t>
      </w:r>
      <w:hyperlink w:history="0" r:id="rId4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44-ФЗ. Каждая из закупок в отдельности не приводит к достижению цели заказчика, поскольку только заключение и исполнение договоров в совокупности достигает цель закупки.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Исследовав и оценив представленные в материалы дела доказательства, проанализировав спорные договоры и технические задания к ним, суды установили, что договоры имеют различные обязательства. Работы по установке ЧИП-колонки (комплект автоматики дозирования воды и павильон под шкаф автоматики) и работы по обустройству источника холодного водоснабжения (разработка грунта, монтаж колодца, монтаж труб, установка муфт, задвижек, укладка плит перекрытия, врезка в сети, установка колонки и прочее) сами по себе не образуют единый объект. Выполнение земляных работ, операции с сетями водоснабжения и установка колонки не являются поставкой оборудования, требуют профессиональной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суды установили, что заключению договоров предшествовало направление Администрацией писем от 14.06.2024 пятерым хозяйствующим субъектам с запросом о ценовой информации в отношении потребностей деревни Малая Слуда.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данным поставщиков, в случае объединения спорных договоров в один начальная (максимальная) цена аукциона составила бы 743 483 рубля 33 копейки (предложение Общества 711 000 рублей, индивидуального предпринимателя Размыслова О.Л. - 738 000 рублей, Предпринимателя - 781 450 рублей).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Заказчик в целях достижения экономии и соблюдения принципа эффективности расходования бюджетных средств заключил договоры на общую сумму 675 000 рублей, что на 68 483 рубля 33 копейки ниже среднего значения (НМЦК), и соответствует объему предоставленной субсидии по реализации народного проекта для жителей деревня Малая Слуда. Договоры заключены в пределах допустимого годового объема закупок, которые заказчик вправе осуществить на основании </w:t>
      </w:r>
      <w:hyperlink w:history="0" r:id="rId4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сультантПлюс}">
        <w:r>
          <w:rPr>
            <w:sz w:val="20"/>
            <w:color w:val="0000ff"/>
          </w:rPr>
          <w:t xml:space="preserve">пункта 4 части 1 статьи 93</w:t>
        </w:r>
      </w:hyperlink>
      <w:r>
        <w:rPr>
          <w:sz w:val="20"/>
        </w:rPr>
        <w:t xml:space="preserve"> Закона N 44-ФЗ.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Довод заявителя жалобы о том, что только заключением и исполнением спорных договоров в совокупности достигается цель заказчика, суд апелляционной инстанции отклонил, обоснованно указав, что реализация проекта "Народный бюджет" не устанавливает ограничения в части реализации проекта; выбор способа реализации остается за исполнителем.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учетом изложенного, приняв во внимание, что проект "Обустройство источника холодного водоснабжения на территории деревня Малая Слуда" в рамках проекта "Народный бюджет" был реализован, ООО "Сыктывдинская тепловая компания" заключило договоры на забор питьевой воды с жителями населенного пункта, приобретенное по договорам имущество включено в состав муниципального и принято к учету в казне (постановление Администрации от 28.12.2024 N 12/1854 и от 15.05.2025 N 5/563); отсутствие в материалах дела доказательств, свидетельствующих о наличии между сторонами договоров антиконкурентного соглашения и общей воли, направленной на нарушение публичных интересов и (или) прав и законных интересов третьих лиц, о недобросовестности ответчиков, а также доказательств, что какому-либо хозяйствующему субъекту было отказано в участии в закупках, суды правомерно не усмотрели предусмотренных законом оснований для признания спорных сделок недействительными и отказали в удовлетворении иска.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Ссылка заявителя на постановление от 20.02.2025 N 011/04/7.29-91/2025 по делу об административном правонарушении подлежит отклонению, поскольку данный акт не имеет преюдициального значения для рассмотрения настоящего спора, в котором установлены иные фактические обстоятельства.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дела исследованы судами полно, всесторонне и объективно, представленным сторонами доказательствам дана надлежащая правовая оценка, изложенные в обжалуемых судебных актах выводы соответствуют обстоятельствам дела и нормам права.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Доводы, изложенные в кассационной жалобе, были предметом рассмотрения в судебных инстанциях, получили надлежащую правовую оценку, не опровергают выводов судов и фактически направлены на переоценку доказательств и установленных судами фактических обстоятельств дела, что в силу </w:t>
      </w:r>
      <w:hyperlink w:history="0" r:id="rId44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статьи 286</w:t>
        </w:r>
      </w:hyperlink>
      <w:r>
        <w:rPr>
          <w:sz w:val="20"/>
        </w:rPr>
        <w:t xml:space="preserve"> Арбитражного процессуального кодекса Российской Федерации не входит в компетенцию суда кассационной инстанции.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Нормы материального права применены судами первой и апелляционной инстанций правильно. Суд кассационной инстанции не установил нарушений норм процессуального права, являющихся в силу </w:t>
      </w:r>
      <w:hyperlink w:history="0" r:id="rId45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части 4 статьи 288</w:t>
        </w:r>
      </w:hyperlink>
      <w:r>
        <w:rPr>
          <w:sz w:val="20"/>
        </w:rPr>
        <w:t xml:space="preserve"> Арбитражного процессуального кодекса Российской Федерации в любом случае основаниями для отмены принятых судебных актов. Кассационная жалоба не подлежит удовлетворению.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46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пунктом 1 части 1 статьи 287</w:t>
        </w:r>
      </w:hyperlink>
      <w:r>
        <w:rPr>
          <w:sz w:val="20"/>
        </w:rPr>
        <w:t xml:space="preserve"> и </w:t>
      </w:r>
      <w:hyperlink w:history="0" r:id="rId47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статьей 289</w:t>
        </w:r>
      </w:hyperlink>
      <w:r>
        <w:rPr>
          <w:sz w:val="20"/>
        </w:rPr>
        <w:t xml:space="preserve"> Арбитражного процессуального кодекса Российской Федерации, Арбитражный суд Волго-Вятского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постановил: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48" w:tooltip="Ссылка на КонсультантПлюс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Арбитражного суда Республики Коми от 06.09.2025 и </w:t>
      </w:r>
      <w:hyperlink w:history="0" r:id="rId49" w:tooltip="Ссылка на КонсультантПлюс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Второго арбитражного апелляционного суда от 12.12.2025 по делу N А29-4765/2025 оставить без изменения, кассационную жалобу прокуратуры Республики Коми - без удовлетворения.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Постановление вступает в законную силу со дня его принятия и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в </w:t>
      </w:r>
      <w:hyperlink w:history="0" r:id="rId50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статье 291.1</w:t>
        </w:r>
      </w:hyperlink>
      <w:r>
        <w:rPr>
          <w:sz w:val="20"/>
        </w:rPr>
        <w:t xml:space="preserve"> Арбитражного процессуального кодекса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Председательствующий</w:t>
      </w:r>
    </w:p>
    <w:p>
      <w:pPr>
        <w:pStyle w:val="0"/>
        <w:jc w:val="right"/>
      </w:pPr>
      <w:r>
        <w:rPr>
          <w:sz w:val="20"/>
        </w:rPr>
        <w:t xml:space="preserve">Н.Ю.БАШЕВА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Судьи</w:t>
      </w:r>
    </w:p>
    <w:p>
      <w:pPr>
        <w:pStyle w:val="0"/>
        <w:jc w:val="right"/>
      </w:pPr>
      <w:r>
        <w:rPr>
          <w:sz w:val="20"/>
        </w:rPr>
        <w:t xml:space="preserve">О.В.АЛЕКСАНДРОВА</w:t>
      </w:r>
    </w:p>
    <w:p>
      <w:pPr>
        <w:pStyle w:val="0"/>
        <w:jc w:val="right"/>
      </w:pPr>
      <w:r>
        <w:rPr>
          <w:sz w:val="20"/>
        </w:rPr>
        <w:t xml:space="preserve">И.Л.ЗАБУРДАЕВА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ASVV&amp;n=2129178" TargetMode = "External"/><Relationship Id="rId4" Type="http://schemas.openxmlformats.org/officeDocument/2006/relationships/hyperlink" Target="https://login.consultant.ru/link/?req=doc&amp;base=RAPS002&amp;n=148932" TargetMode = "External"/><Relationship Id="rId5" Type="http://schemas.openxmlformats.org/officeDocument/2006/relationships/hyperlink" Target="https://login.consultant.ru/link/?req=doc&amp;base=ASVV&amp;n=2129178" TargetMode = "External"/><Relationship Id="rId6" Type="http://schemas.openxmlformats.org/officeDocument/2006/relationships/hyperlink" Target="https://login.consultant.ru/link/?req=doc&amp;base=RAPS002&amp;n=148932" TargetMode = "External"/><Relationship Id="rId7" Type="http://schemas.openxmlformats.org/officeDocument/2006/relationships/hyperlink" Target="https://login.consultant.ru/link/?req=doc&amp;base=LAW&amp;n=494990" TargetMode = "External"/><Relationship Id="rId8" Type="http://schemas.openxmlformats.org/officeDocument/2006/relationships/hyperlink" Target="https://login.consultant.ru/link/?req=doc&amp;base=RAPS002&amp;n=148932" TargetMode = "External"/><Relationship Id="rId9" Type="http://schemas.openxmlformats.org/officeDocument/2006/relationships/hyperlink" Target="https://login.consultant.ru/link/?req=doc&amp;base=LAW&amp;n=520138&amp;dst=101808" TargetMode = "External"/><Relationship Id="rId10" Type="http://schemas.openxmlformats.org/officeDocument/2006/relationships/hyperlink" Target="https://login.consultant.ru/link/?req=doc&amp;base=LAW&amp;n=520138&amp;dst=101876" TargetMode = "External"/><Relationship Id="rId11" Type="http://schemas.openxmlformats.org/officeDocument/2006/relationships/hyperlink" Target="https://login.consultant.ru/link/?req=doc&amp;base=LAW&amp;n=520138&amp;dst=101882" TargetMode = "External"/><Relationship Id="rId12" Type="http://schemas.openxmlformats.org/officeDocument/2006/relationships/hyperlink" Target="https://login.consultant.ru/link/?req=doc&amp;base=LAW&amp;n=494990&amp;dst=12218" TargetMode = "External"/><Relationship Id="rId13" Type="http://schemas.openxmlformats.org/officeDocument/2006/relationships/hyperlink" Target="https://login.consultant.ru/link/?req=doc&amp;base=LAW&amp;n=508490&amp;dst=353" TargetMode = "External"/><Relationship Id="rId14" Type="http://schemas.openxmlformats.org/officeDocument/2006/relationships/hyperlink" Target="https://login.consultant.ru/link/?req=doc&amp;base=LAW&amp;n=508490&amp;dst=367" TargetMode = "External"/><Relationship Id="rId15" Type="http://schemas.openxmlformats.org/officeDocument/2006/relationships/hyperlink" Target="https://login.consultant.ru/link/?req=doc&amp;base=LAW&amp;n=508506&amp;dst=102867" TargetMode = "External"/><Relationship Id="rId16" Type="http://schemas.openxmlformats.org/officeDocument/2006/relationships/hyperlink" Target="https://login.consultant.ru/link/?req=doc&amp;base=LAW&amp;n=494990&amp;dst=101256" TargetMode = "External"/><Relationship Id="rId17" Type="http://schemas.openxmlformats.org/officeDocument/2006/relationships/hyperlink" Target="https://login.consultant.ru/link/?req=doc&amp;base=LAW&amp;n=181602" TargetMode = "External"/><Relationship Id="rId18" Type="http://schemas.openxmlformats.org/officeDocument/2006/relationships/hyperlink" Target="https://login.consultant.ru/link/?req=doc&amp;base=LAW&amp;n=218867" TargetMode = "External"/><Relationship Id="rId19" Type="http://schemas.openxmlformats.org/officeDocument/2006/relationships/hyperlink" Target="https://login.consultant.ru/link/?req=doc&amp;base=LAW&amp;n=153376&amp;dst=100009" TargetMode = "External"/><Relationship Id="rId20" Type="http://schemas.openxmlformats.org/officeDocument/2006/relationships/hyperlink" Target="https://login.consultant.ru/link/?req=doc&amp;base=LAW&amp;n=494990" TargetMode = "External"/><Relationship Id="rId21" Type="http://schemas.openxmlformats.org/officeDocument/2006/relationships/hyperlink" Target="https://login.consultant.ru/link/?req=doc&amp;base=LAW&amp;n=508490&amp;dst=100946" TargetMode = "External"/><Relationship Id="rId22" Type="http://schemas.openxmlformats.org/officeDocument/2006/relationships/hyperlink" Target="https://login.consultant.ru/link/?req=doc&amp;base=LAW&amp;n=508490&amp;dst=369" TargetMode = "External"/><Relationship Id="rId23" Type="http://schemas.openxmlformats.org/officeDocument/2006/relationships/hyperlink" Target="https://login.consultant.ru/link/?req=doc&amp;base=LAW&amp;n=508490&amp;dst=353" TargetMode = "External"/><Relationship Id="rId24" Type="http://schemas.openxmlformats.org/officeDocument/2006/relationships/hyperlink" Target="https://login.consultant.ru/link/?req=doc&amp;base=LAW&amp;n=508490&amp;dst=367" TargetMode = "External"/><Relationship Id="rId25" Type="http://schemas.openxmlformats.org/officeDocument/2006/relationships/hyperlink" Target="https://login.consultant.ru/link/?req=doc&amp;base=LAW&amp;n=181602&amp;dst=100190" TargetMode = "External"/><Relationship Id="rId26" Type="http://schemas.openxmlformats.org/officeDocument/2006/relationships/hyperlink" Target="https://login.consultant.ru/link/?req=doc&amp;base=LAW&amp;n=508506&amp;dst=102868" TargetMode = "External"/><Relationship Id="rId27" Type="http://schemas.openxmlformats.org/officeDocument/2006/relationships/hyperlink" Target="https://login.consultant.ru/link/?req=doc&amp;base=LAW&amp;n=508506&amp;dst=101173" TargetMode = "External"/><Relationship Id="rId28" Type="http://schemas.openxmlformats.org/officeDocument/2006/relationships/hyperlink" Target="https://login.consultant.ru/link/?req=doc&amp;base=LAW&amp;n=508506&amp;dst=101250" TargetMode = "External"/><Relationship Id="rId29" Type="http://schemas.openxmlformats.org/officeDocument/2006/relationships/hyperlink" Target="https://login.consultant.ru/link/?req=doc&amp;base=LAW&amp;n=494990" TargetMode = "External"/><Relationship Id="rId30" Type="http://schemas.openxmlformats.org/officeDocument/2006/relationships/hyperlink" Target="https://login.consultant.ru/link/?req=doc&amp;base=LAW&amp;n=494990" TargetMode = "External"/><Relationship Id="rId31" Type="http://schemas.openxmlformats.org/officeDocument/2006/relationships/hyperlink" Target="https://login.consultant.ru/link/?req=doc&amp;base=LAW&amp;n=494990&amp;dst=101256" TargetMode = "External"/><Relationship Id="rId32" Type="http://schemas.openxmlformats.org/officeDocument/2006/relationships/hyperlink" Target="https://login.consultant.ru/link/?req=doc&amp;base=LAW&amp;n=494990&amp;dst=100099" TargetMode = "External"/><Relationship Id="rId33" Type="http://schemas.openxmlformats.org/officeDocument/2006/relationships/hyperlink" Target="https://login.consultant.ru/link/?req=doc&amp;base=LAW&amp;n=494990" TargetMode = "External"/><Relationship Id="rId34" Type="http://schemas.openxmlformats.org/officeDocument/2006/relationships/hyperlink" Target="https://login.consultant.ru/link/?req=doc&amp;base=LAW&amp;n=494990&amp;dst=370" TargetMode = "External"/><Relationship Id="rId35" Type="http://schemas.openxmlformats.org/officeDocument/2006/relationships/hyperlink" Target="https://login.consultant.ru/link/?req=doc&amp;base=LAW&amp;n=494990&amp;dst=12218" TargetMode = "External"/><Relationship Id="rId36" Type="http://schemas.openxmlformats.org/officeDocument/2006/relationships/hyperlink" Target="https://login.consultant.ru/link/?req=doc&amp;base=LAW&amp;n=494990&amp;dst=12286" TargetMode = "External"/><Relationship Id="rId37" Type="http://schemas.openxmlformats.org/officeDocument/2006/relationships/hyperlink" Target="https://login.consultant.ru/link/?req=doc&amp;base=LAW&amp;n=494990&amp;dst=12218" TargetMode = "External"/><Relationship Id="rId38" Type="http://schemas.openxmlformats.org/officeDocument/2006/relationships/hyperlink" Target="https://login.consultant.ru/link/?req=doc&amp;base=LAW&amp;n=494990" TargetMode = "External"/><Relationship Id="rId39" Type="http://schemas.openxmlformats.org/officeDocument/2006/relationships/hyperlink" Target="https://login.consultant.ru/link/?req=doc&amp;base=LAW&amp;n=218867&amp;dst=100172" TargetMode = "External"/><Relationship Id="rId40" Type="http://schemas.openxmlformats.org/officeDocument/2006/relationships/hyperlink" Target="https://login.consultant.ru/link/?req=doc&amp;base=LAW&amp;n=520138&amp;dst=100375" TargetMode = "External"/><Relationship Id="rId41" Type="http://schemas.openxmlformats.org/officeDocument/2006/relationships/hyperlink" Target="https://login.consultant.ru/link/?req=doc&amp;base=LAW&amp;n=520138&amp;dst=100420" TargetMode = "External"/><Relationship Id="rId42" Type="http://schemas.openxmlformats.org/officeDocument/2006/relationships/hyperlink" Target="https://login.consultant.ru/link/?req=doc&amp;base=LAW&amp;n=494990" TargetMode = "External"/><Relationship Id="rId43" Type="http://schemas.openxmlformats.org/officeDocument/2006/relationships/hyperlink" Target="https://login.consultant.ru/link/?req=doc&amp;base=LAW&amp;n=494990&amp;dst=12218" TargetMode = "External"/><Relationship Id="rId44" Type="http://schemas.openxmlformats.org/officeDocument/2006/relationships/hyperlink" Target="https://login.consultant.ru/link/?req=doc&amp;base=LAW&amp;n=520138&amp;dst=101882" TargetMode = "External"/><Relationship Id="rId45" Type="http://schemas.openxmlformats.org/officeDocument/2006/relationships/hyperlink" Target="https://login.consultant.ru/link/?req=doc&amp;base=LAW&amp;n=520138&amp;dst=1085" TargetMode = "External"/><Relationship Id="rId46" Type="http://schemas.openxmlformats.org/officeDocument/2006/relationships/hyperlink" Target="https://login.consultant.ru/link/?req=doc&amp;base=LAW&amp;n=520138&amp;dst=101888" TargetMode = "External"/><Relationship Id="rId47" Type="http://schemas.openxmlformats.org/officeDocument/2006/relationships/hyperlink" Target="https://login.consultant.ru/link/?req=doc&amp;base=LAW&amp;n=520138&amp;dst=101910" TargetMode = "External"/><Relationship Id="rId48" Type="http://schemas.openxmlformats.org/officeDocument/2006/relationships/hyperlink" Target="https://login.consultant.ru/link/?req=doc&amp;base=ASVV&amp;n=2129178" TargetMode = "External"/><Relationship Id="rId49" Type="http://schemas.openxmlformats.org/officeDocument/2006/relationships/hyperlink" Target="https://login.consultant.ru/link/?req=doc&amp;base=RAPS002&amp;n=148932" TargetMode = "External"/><Relationship Id="rId50" Type="http://schemas.openxmlformats.org/officeDocument/2006/relationships/hyperlink" Target="https://login.consultant.ru/link/?req=doc&amp;base=LAW&amp;n=520138&amp;dst=1663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Арбитражного суда Волго-Вятского округа от 15.04.2026 N Ф01-6340/2026 по делу N А29-4765/2025
Требование: О признании недействительными заключенного администрацией района и предпринимателем договора на выполнение работ по установке ЧИП-колонки и заключенного администрацией и обществом договора на выполнение работ по обустройству источника холодного водоснабжения и о взыскании с предпринимателя и с общества денежных средств в бюджет муниципального района.
Обстоятельства: Прокурор утверждает, чт</dc:title>
  <dcterms:created xsi:type="dcterms:W3CDTF">2026-04-25T14:36:56Z</dcterms:created>
</cp:coreProperties>
</file>