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АРБИТРАЖНЫЙ СУД УРАЛЬСКОГО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17 февраля 2026 г. N Ф09-265/26</w:t>
      </w:r>
    </w:p>
    <w:p>
      <w:pPr>
        <w:pStyle w:val="0"/>
        <w:ind w:firstLine="540"/>
        <w:jc w:val="both"/>
      </w:pPr>
      <w:r>
        <w:rPr>
          <w:sz w:val="20"/>
        </w:rPr>
      </w:r>
    </w:p>
    <w:p>
      <w:pPr>
        <w:pStyle w:val="0"/>
        <w:jc w:val="right"/>
      </w:pPr>
      <w:r>
        <w:rPr>
          <w:sz w:val="20"/>
        </w:rPr>
        <w:t xml:space="preserve">Дело N А76-29156/2023</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16 февраля 2026 г.</w:t>
      </w:r>
    </w:p>
    <w:p>
      <w:pPr>
        <w:pStyle w:val="0"/>
        <w:spacing w:before="200" w:lineRule="auto"/>
        <w:ind w:firstLine="540"/>
        <w:jc w:val="both"/>
      </w:pPr>
      <w:r>
        <w:rPr>
          <w:sz w:val="20"/>
        </w:rPr>
        <w:t xml:space="preserve">Постановление изготовлено в полном объеме 17 февраля 2026 г.</w:t>
      </w:r>
    </w:p>
    <w:p>
      <w:pPr>
        <w:pStyle w:val="0"/>
        <w:spacing w:before="200" w:lineRule="auto"/>
        <w:ind w:firstLine="540"/>
        <w:jc w:val="both"/>
      </w:pPr>
      <w:r>
        <w:rPr>
          <w:sz w:val="20"/>
        </w:rPr>
        <w:t xml:space="preserve">Арбитражный суд Уральского округа в составе: председательствующего Краснобаевой И.А.,</w:t>
      </w:r>
    </w:p>
    <w:p>
      <w:pPr>
        <w:pStyle w:val="0"/>
        <w:spacing w:before="200" w:lineRule="auto"/>
        <w:ind w:firstLine="540"/>
        <w:jc w:val="both"/>
      </w:pPr>
      <w:r>
        <w:rPr>
          <w:sz w:val="20"/>
        </w:rPr>
        <w:t xml:space="preserve">судей Гуляевой Е.И., Журавлевой У.В.</w:t>
      </w:r>
    </w:p>
    <w:p>
      <w:pPr>
        <w:pStyle w:val="0"/>
        <w:spacing w:before="200" w:lineRule="auto"/>
        <w:ind w:firstLine="540"/>
        <w:jc w:val="both"/>
      </w:pPr>
      <w:r>
        <w:rPr>
          <w:sz w:val="20"/>
        </w:rPr>
        <w:t xml:space="preserve">рассмотрел в судебном заседании кассационную жалобу общества с ограниченной ответственностью "Электропрофит" (далее - общество "Электропрофит") на </w:t>
      </w:r>
      <w:hyperlink w:history="0" r:id="rId3" w:tooltip="Ссылка на КонсультантПлюс">
        <w:r>
          <w:rPr>
            <w:sz w:val="20"/>
            <w:color w:val="0000ff"/>
          </w:rPr>
          <w:t xml:space="preserve">решение</w:t>
        </w:r>
      </w:hyperlink>
      <w:r>
        <w:rPr>
          <w:sz w:val="20"/>
        </w:rPr>
        <w:t xml:space="preserve"> Арбитражного суда Челябинской области от 25.09.2025 по делу N А76-29156/2023 и </w:t>
      </w:r>
      <w:hyperlink w:history="0" r:id="rId4" w:tooltip="Ссылка на КонсультантПлюс">
        <w:r>
          <w:rPr>
            <w:sz w:val="20"/>
            <w:color w:val="0000ff"/>
          </w:rPr>
          <w:t xml:space="preserve">постановление</w:t>
        </w:r>
      </w:hyperlink>
      <w:r>
        <w:rPr>
          <w:sz w:val="20"/>
        </w:rPr>
        <w:t xml:space="preserve"> Восемнадцатого арбитражного апелляционного суда от 19.12.2025 по тому же делу.</w:t>
      </w:r>
    </w:p>
    <w:p>
      <w:pPr>
        <w:pStyle w:val="0"/>
        <w:spacing w:before="200" w:lineRule="auto"/>
        <w:ind w:firstLine="540"/>
        <w:jc w:val="both"/>
      </w:pPr>
      <w:r>
        <w:rPr>
          <w:sz w:val="20"/>
        </w:rPr>
        <w:t xml:space="preserve">Лица, участвующие в деле, о времени и месте рассмотрения кассационной жалобы извещены надлежащим образом, в том числе публично, путем размещения информации о времени и месте судебного заседания на сайте Арбитражного суда Уральского округа.</w:t>
      </w:r>
    </w:p>
    <w:p>
      <w:pPr>
        <w:pStyle w:val="0"/>
        <w:spacing w:before="200" w:lineRule="auto"/>
        <w:ind w:firstLine="540"/>
        <w:jc w:val="both"/>
      </w:pPr>
      <w:r>
        <w:rPr>
          <w:sz w:val="20"/>
        </w:rPr>
        <w:t xml:space="preserve">В судебном заседании приняли участие представители:</w:t>
      </w:r>
    </w:p>
    <w:p>
      <w:pPr>
        <w:pStyle w:val="0"/>
        <w:spacing w:before="200" w:lineRule="auto"/>
        <w:ind w:firstLine="540"/>
        <w:jc w:val="both"/>
      </w:pPr>
      <w:r>
        <w:rPr>
          <w:sz w:val="20"/>
        </w:rPr>
        <w:t xml:space="preserve">закрытого акционерного общества "НП Автомир" (далее - общество "НП Автомир") - Раенко В.Ю. (доверенность от 01.01.2026);</w:t>
      </w:r>
    </w:p>
    <w:p>
      <w:pPr>
        <w:pStyle w:val="0"/>
        <w:spacing w:before="200" w:lineRule="auto"/>
        <w:ind w:firstLine="540"/>
        <w:jc w:val="both"/>
      </w:pPr>
      <w:r>
        <w:rPr>
          <w:sz w:val="20"/>
        </w:rPr>
        <w:t xml:space="preserve">общества "Электропрофит" - Панов Е.Л. (директор), Поздняков А.А. (доверенность от 26.10.2023).</w:t>
      </w:r>
    </w:p>
    <w:p>
      <w:pPr>
        <w:pStyle w:val="0"/>
        <w:ind w:firstLine="540"/>
        <w:jc w:val="both"/>
      </w:pPr>
      <w:r>
        <w:rPr>
          <w:sz w:val="20"/>
        </w:rPr>
      </w:r>
    </w:p>
    <w:p>
      <w:pPr>
        <w:pStyle w:val="0"/>
        <w:ind w:firstLine="540"/>
        <w:jc w:val="both"/>
      </w:pPr>
      <w:r>
        <w:rPr>
          <w:sz w:val="20"/>
        </w:rPr>
        <w:t xml:space="preserve">Общество с ограниченной ответственностью "Автомир-74" (далее - истец, общество "Автомир-74") обратилось в Арбитражный суд Челябинской области с исковым заявлением к обществу "Электропрофит" (ответчик) о взыскании ущерба в размере 12 387 273 руб. 40 коп.</w:t>
      </w:r>
    </w:p>
    <w:p>
      <w:pPr>
        <w:pStyle w:val="0"/>
        <w:spacing w:before="200" w:lineRule="auto"/>
        <w:ind w:firstLine="540"/>
        <w:jc w:val="both"/>
      </w:pPr>
      <w:r>
        <w:rPr>
          <w:sz w:val="20"/>
        </w:rPr>
        <w:t xml:space="preserve">Определениями Арбитражного суда Челябинской области от 28.11.2023, 08.02.2024 к участию в деле в качестве третьих лиц, не заявляющих самостоятельных требований относительно предмета спора, привлечены общество с ограниченной ответственностью "ВТЛ", публичное акционерное общество "Группа ренессанс страхование" (далее - третьи лица, общество "ВЛТ", общество "Группа ренессанс страхование").</w:t>
      </w:r>
    </w:p>
    <w:p>
      <w:pPr>
        <w:pStyle w:val="0"/>
        <w:spacing w:before="200" w:lineRule="auto"/>
        <w:ind w:firstLine="540"/>
        <w:jc w:val="both"/>
      </w:pPr>
      <w:r>
        <w:rPr>
          <w:sz w:val="20"/>
        </w:rPr>
        <w:t xml:space="preserve">Определением Арбитражного суда Челябинской области от 20.11.2024 произведена замена истца общества "Автомир-74" на процессуального правопреемника - общество "НП Автомир".</w:t>
      </w:r>
    </w:p>
    <w:p>
      <w:pPr>
        <w:pStyle w:val="0"/>
        <w:spacing w:before="200" w:lineRule="auto"/>
        <w:ind w:firstLine="540"/>
        <w:jc w:val="both"/>
      </w:pPr>
      <w:hyperlink w:history="0" r:id="rId5" w:tooltip="Ссылка на КонсультантПлюс">
        <w:r>
          <w:rPr>
            <w:sz w:val="20"/>
            <w:color w:val="0000ff"/>
          </w:rPr>
          <w:t xml:space="preserve">Решением</w:t>
        </w:r>
      </w:hyperlink>
      <w:r>
        <w:rPr>
          <w:sz w:val="20"/>
        </w:rPr>
        <w:t xml:space="preserve"> Арбитражного суда Челябинской области от 25.09.2025 по делу N А76-29156/2023 исковые требования удовлетворены, с общества "Электропрофит" в пользу общества "НП Автомир" взыскан ущерб в размере 12 387 273 руб. 40 коп., судебные расходы по оплате государственной пошлины в размере 84 936 руб.</w:t>
      </w:r>
    </w:p>
    <w:p>
      <w:pPr>
        <w:pStyle w:val="0"/>
        <w:spacing w:before="200" w:lineRule="auto"/>
        <w:ind w:firstLine="540"/>
        <w:jc w:val="both"/>
      </w:pPr>
      <w:hyperlink w:history="0" r:id="rId6" w:tooltip="Ссылка на КонсультантПлюс">
        <w:r>
          <w:rPr>
            <w:sz w:val="20"/>
            <w:color w:val="0000ff"/>
          </w:rPr>
          <w:t xml:space="preserve">Постановлением</w:t>
        </w:r>
      </w:hyperlink>
      <w:r>
        <w:rPr>
          <w:sz w:val="20"/>
        </w:rPr>
        <w:t xml:space="preserve"> Восемнадцатого арбитражного апелляционного суда от 19.12.2025 решение суда оставлено без изменения.</w:t>
      </w:r>
    </w:p>
    <w:p>
      <w:pPr>
        <w:pStyle w:val="0"/>
        <w:spacing w:before="200" w:lineRule="auto"/>
        <w:ind w:firstLine="540"/>
        <w:jc w:val="both"/>
      </w:pPr>
      <w:r>
        <w:rPr>
          <w:sz w:val="20"/>
        </w:rPr>
        <w:t xml:space="preserve">Не согласившись с вынесенными судебными актами, общество "Электропрофит" обратилось в Арбитражный суд Уральского округа с кассационной жалобой.</w:t>
      </w:r>
    </w:p>
    <w:p>
      <w:pPr>
        <w:pStyle w:val="0"/>
        <w:spacing w:before="200" w:lineRule="auto"/>
        <w:ind w:firstLine="540"/>
        <w:jc w:val="both"/>
      </w:pPr>
      <w:r>
        <w:rPr>
          <w:sz w:val="20"/>
        </w:rPr>
        <w:t xml:space="preserve">В кассационной жалобе общество "Электропрофит" просит указанные судебные акты отменить, ссылаясь на неправильное применение судами норм материального и процессуального права, несоответствие выводов судов фактическим обстоятельствам дела и имеющимся в деле доказательствам.</w:t>
      </w:r>
    </w:p>
    <w:p>
      <w:pPr>
        <w:pStyle w:val="0"/>
        <w:spacing w:before="200" w:lineRule="auto"/>
        <w:ind w:firstLine="540"/>
        <w:jc w:val="both"/>
      </w:pPr>
      <w:r>
        <w:rPr>
          <w:sz w:val="20"/>
        </w:rPr>
        <w:t xml:space="preserve">Заявитель кассационной жалобы, ссылаясь на </w:t>
      </w:r>
      <w:hyperlink w:history="0" r:id="rId7" w:tooltip="Постановление Правительства РФ от 01.09.2021 N 1464 &quot;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quot; {КонсультантПлюс}">
        <w:r>
          <w:rPr>
            <w:sz w:val="20"/>
            <w:color w:val="0000ff"/>
          </w:rPr>
          <w:t xml:space="preserve">Постановление</w:t>
        </w:r>
      </w:hyperlink>
      <w:r>
        <w:rPr>
          <w:sz w:val="20"/>
        </w:rPr>
        <w:t xml:space="preserve"> Правительства Российской Федерации от 01.09.2021 N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 указывает, что помещение, в котором произошло возгорание должно было быть надлежащим образом оборудовано автоматическими системами пожаротушения, а также системами оповещения. Отмечает, что общественные помещения, выставочные залы, при площади помещения 1000 кв. метров и более обязательно оснащаются автоматическими средствами пожаротушения. Здания и сооружения для автомобилей независимо от площади здания (сооружения), нормативный показатель автоматические установки пожаротушения. Полагает, что истец своими действиями способствовал причинению ущерба своего имущества. Ответственность за обеспечение правил пожарной безопасности нежилого помещения (автосалона) лежала на истце. Каких-либо документов от надзорных органов противопожарной безопасности по льготам на отсутствие систем оповещения пожара или систем автоматического пожаротушения также не представлял. Кроме того, обращает внимание на то, что само помещение, где произошло возгорание светильника, истцу на праве собственности не принадлежит. Собственником данного помещения, в котором расположен автосалон, является, согласно ЕГРН общество с ограниченной ответственностью "Виорайс" (ИНН 7714817312 ОГРН 1 107746734424). Между тем, собственник в нарушение норм процессуального права не привлечен к участию в деле. Также общество "Электропрофит" выражает несогласие с выводами эксперта, экспертное заключение считает не полным.</w:t>
      </w:r>
    </w:p>
    <w:p>
      <w:pPr>
        <w:pStyle w:val="0"/>
        <w:spacing w:before="200" w:lineRule="auto"/>
        <w:ind w:firstLine="540"/>
        <w:jc w:val="both"/>
      </w:pPr>
      <w:r>
        <w:rPr>
          <w:sz w:val="20"/>
        </w:rPr>
        <w:t xml:space="preserve">В дополнениях к кассационной жалобе заявитель указывает на истечение гарантийного срока, режим эксплуатации спорного светильника, противоречие в выводах экспертов.</w:t>
      </w:r>
    </w:p>
    <w:p>
      <w:pPr>
        <w:pStyle w:val="0"/>
        <w:ind w:firstLine="540"/>
        <w:jc w:val="both"/>
      </w:pPr>
      <w:r>
        <w:rPr>
          <w:sz w:val="20"/>
        </w:rPr>
      </w:r>
    </w:p>
    <w:p>
      <w:pPr>
        <w:pStyle w:val="0"/>
        <w:ind w:firstLine="540"/>
        <w:jc w:val="both"/>
      </w:pPr>
      <w:r>
        <w:rPr>
          <w:sz w:val="20"/>
        </w:rPr>
        <w:t xml:space="preserve">Как следует из материалов дела и установлено судами, 18.03.2019 между обществом "Электропрофит" (поставщик) и обществом "Автомир-74" (покупатель) заключен договор поставки N ЭП-18/03-1, в соответствии с которым 15.05.2020 ответчик поставил в адрес истца товар (электротехническую продукцию), в том числе светильник светодиодный LED встраиваемый ДВО-18 Вт 1020 Лм 6500 К белый круг Jazzway в количестве 10 штук, что подтверждается УПД N НВГ200 от 15.05.2020.</w:t>
      </w:r>
    </w:p>
    <w:p>
      <w:pPr>
        <w:pStyle w:val="0"/>
        <w:spacing w:before="200" w:lineRule="auto"/>
        <w:ind w:firstLine="540"/>
        <w:jc w:val="both"/>
      </w:pPr>
      <w:r>
        <w:rPr>
          <w:sz w:val="20"/>
        </w:rPr>
        <w:t xml:space="preserve">14.12.2022 в результате аварийной работы одного из поставленных светильников, вызванной допущением производственного брака при его изготовлении, в здании по адресу: г. Челябинск, ул. Черкасская, д. 19 произошел пожар, в результате которого был частично поврежден находившийся в здании автомобиль Toyota land cruier 300 (VIN JTMAAAB504002994), принадлежащий обществу "Автомир-74" на праве собственности (на основании счет-фактуры N 7888 от 25.01.2022, паспорта транспортного средства N 164302040824625 от 06.01.2022).</w:t>
      </w:r>
    </w:p>
    <w:p>
      <w:pPr>
        <w:pStyle w:val="0"/>
        <w:spacing w:before="200" w:lineRule="auto"/>
        <w:ind w:firstLine="540"/>
        <w:jc w:val="both"/>
      </w:pPr>
      <w:r>
        <w:rPr>
          <w:sz w:val="20"/>
        </w:rPr>
        <w:t xml:space="preserve">Старшим дознавателем ОНДиПР по г. Челябинску УНДиПР Главного управления МЧС России по Челябинской области лейтенантом внутренней службы Байрамгуловым Р.Ф. в соответствие с </w:t>
      </w:r>
      <w:hyperlink w:history="0" r:id="rId8" w:tooltip="&quot;Уголовно-процессуальный кодекс Российской Федерации&quot; от 18.12.2001 N 174-ФЗ (ред. от 29.12.2025) (с изм. и доп., вступ. в силу с 20.01.2026) ------------ Недействующая редакция {КонсультантПлюс}">
        <w:r>
          <w:rPr>
            <w:sz w:val="20"/>
            <w:color w:val="0000ff"/>
          </w:rPr>
          <w:t xml:space="preserve">п. 6 ч. 3 ст. 151</w:t>
        </w:r>
      </w:hyperlink>
      <w:r>
        <w:rPr>
          <w:sz w:val="20"/>
        </w:rPr>
        <w:t xml:space="preserve">, </w:t>
      </w:r>
      <w:hyperlink w:history="0" r:id="rId9" w:tooltip="&quot;Уголовно-процессуальный кодекс Российской Федерации&quot; от 18.12.2001 N 174-ФЗ (ред. от 29.12.2025) (с изм. и доп., вступ. в силу с 20.01.2026) ------------ Недействующая редакция {КонсультантПлюс}">
        <w:r>
          <w:rPr>
            <w:sz w:val="20"/>
            <w:color w:val="0000ff"/>
          </w:rPr>
          <w:t xml:space="preserve">ст. ст. 144</w:t>
        </w:r>
      </w:hyperlink>
      <w:r>
        <w:rPr>
          <w:sz w:val="20"/>
        </w:rPr>
        <w:t xml:space="preserve">, </w:t>
      </w:r>
      <w:hyperlink w:history="0" r:id="rId10" w:tooltip="&quot;Уголовно-процессуальный кодекс Российской Федерации&quot; от 18.12.2001 N 174-ФЗ (ред. от 29.12.2025) (с изм. и доп., вступ. в силу с 20.01.2026) ------------ Недействующая редакция {КонсультантПлюс}">
        <w:r>
          <w:rPr>
            <w:sz w:val="20"/>
            <w:color w:val="0000ff"/>
          </w:rPr>
          <w:t xml:space="preserve">145</w:t>
        </w:r>
      </w:hyperlink>
      <w:r>
        <w:rPr>
          <w:sz w:val="20"/>
        </w:rPr>
        <w:t xml:space="preserve"> УПК РФ проведена проверка, которой установлено, что причиной возгорания автомобиля Toyota land cruier 300, VIN JTMAAAB504002994 по адресу: г. Челябинск, ул. Черкасская д. 19, явилось попадание расплавленного (горящего) пластика светодиодного светильника потолочной части выставочного зала на переднюю часть автомобиля с последующим его возгоранием.</w:t>
      </w:r>
    </w:p>
    <w:p>
      <w:pPr>
        <w:pStyle w:val="0"/>
        <w:spacing w:before="200" w:lineRule="auto"/>
        <w:ind w:firstLine="540"/>
        <w:jc w:val="both"/>
      </w:pPr>
      <w:r>
        <w:rPr>
          <w:sz w:val="20"/>
        </w:rPr>
        <w:t xml:space="preserve">В целях установления конкретной причины пожара (возгорания), а также его последствий и стоимости восстановления поврежденного пожаром имущества, общество "Автомир-74" обратилось в общество "Независимая судебная экспертиза "Принцип".</w:t>
      </w:r>
    </w:p>
    <w:p>
      <w:pPr>
        <w:pStyle w:val="0"/>
        <w:spacing w:before="200" w:lineRule="auto"/>
        <w:ind w:firstLine="540"/>
        <w:jc w:val="both"/>
      </w:pPr>
      <w:r>
        <w:rPr>
          <w:sz w:val="20"/>
        </w:rPr>
        <w:t xml:space="preserve">Телеграммой от 22.02.2023 общество "Электропрофит" было уведомлено о месте, дате и времени осмотра помещения экспертами. Однако представитель общества "Электропрофит" для участия в осмотре не явился.</w:t>
      </w:r>
    </w:p>
    <w:p>
      <w:pPr>
        <w:pStyle w:val="0"/>
        <w:spacing w:before="200" w:lineRule="auto"/>
        <w:ind w:firstLine="540"/>
        <w:jc w:val="both"/>
      </w:pPr>
      <w:r>
        <w:rPr>
          <w:sz w:val="20"/>
        </w:rPr>
        <w:t xml:space="preserve">Специалистами общества "Независимая судебная экспертиза "Принцип" произведена комплексная экспертиза.</w:t>
      </w:r>
    </w:p>
    <w:p>
      <w:pPr>
        <w:pStyle w:val="0"/>
        <w:spacing w:before="200" w:lineRule="auto"/>
        <w:ind w:firstLine="540"/>
        <w:jc w:val="both"/>
      </w:pPr>
      <w:r>
        <w:rPr>
          <w:sz w:val="20"/>
        </w:rPr>
        <w:t xml:space="preserve">Согласно выводам экспертов, изложенным в заключении N 2023.02ПР от 21.02.2023, очаг возгорания, имевшего место 14.12.2022 в здании ТСК (торгово-сервисный комплекс) Черкасская 19, расположен на уровне сборного подвесного потолка выставочного зала в проекции над моторным отсеком автомобиля Toyota land cruiser 300 (VIN N JTMAAABJ504002994) в месте установки потолочного светильника светодиодного LED встраиваемого ДВО - 18 Вт 1020 Лм 6500 К Белый круг Jazzway.</w:t>
      </w:r>
    </w:p>
    <w:p>
      <w:pPr>
        <w:pStyle w:val="0"/>
        <w:spacing w:before="200" w:lineRule="auto"/>
        <w:ind w:firstLine="540"/>
        <w:jc w:val="both"/>
      </w:pPr>
      <w:r>
        <w:rPr>
          <w:sz w:val="20"/>
        </w:rPr>
        <w:t xml:space="preserve">Местом первоначального огневого воздействия на автомобиль Toyota land cruiser 300 (VIN N JTMAAABJ504002994) является наружная передняя часть крышки капота автомобиля.</w:t>
      </w:r>
    </w:p>
    <w:p>
      <w:pPr>
        <w:pStyle w:val="0"/>
        <w:spacing w:before="200" w:lineRule="auto"/>
        <w:ind w:firstLine="540"/>
        <w:jc w:val="both"/>
      </w:pPr>
      <w:r>
        <w:rPr>
          <w:sz w:val="20"/>
        </w:rPr>
        <w:t xml:space="preserve">Причиной возгорания является производственный брак, допущенный при производстве светильника светодиодного LED встраиваемого ДВО - 18 Вт 1020 Лм 6500 К Белый круг Jazzway.</w:t>
      </w:r>
    </w:p>
    <w:p>
      <w:pPr>
        <w:pStyle w:val="0"/>
        <w:spacing w:before="200" w:lineRule="auto"/>
        <w:ind w:firstLine="540"/>
        <w:jc w:val="both"/>
      </w:pPr>
      <w:r>
        <w:rPr>
          <w:sz w:val="20"/>
        </w:rPr>
        <w:t xml:space="preserve">Произведенной экспертизой установлено, что стоимость восстановительного ремонта указанного автомобиля, составляет 12 387 273 руб. 40 коп., что не превышает рыночной стоимости автомобиля.</w:t>
      </w:r>
    </w:p>
    <w:p>
      <w:pPr>
        <w:pStyle w:val="0"/>
        <w:spacing w:before="200" w:lineRule="auto"/>
        <w:ind w:firstLine="540"/>
        <w:jc w:val="both"/>
      </w:pPr>
      <w:r>
        <w:rPr>
          <w:sz w:val="20"/>
        </w:rPr>
        <w:t xml:space="preserve">В соответствие с п. 4.1 указанного договора поставки N ЭП-18/03-1 от 18.03.2019 качество товара, поставляемого по договору, должно соответствовать техническим условиям, указанным в сертификате соответствия производителя продукции. На поставленную продукцию ответчиком был предоставлен сертификат соответствия N ЕАЭС RU С-НК.АБ53.В.05478/22 серии RU N 391350.</w:t>
      </w:r>
    </w:p>
    <w:p>
      <w:pPr>
        <w:pStyle w:val="0"/>
        <w:spacing w:before="200" w:lineRule="auto"/>
        <w:ind w:firstLine="540"/>
        <w:jc w:val="both"/>
      </w:pPr>
      <w:r>
        <w:rPr>
          <w:sz w:val="20"/>
        </w:rPr>
        <w:t xml:space="preserve">26.07.2023 ответчику была направлена претензия с требованием в течение десяти дней с момента ее получения выплатить стоимость восстановительного ремонта указанного автомобиля в размере 12 387 273 руб. 40 коп. с указанием реквизитов для перечисления денежных средств, которая оставлена последним без удовлетворения.</w:t>
      </w:r>
    </w:p>
    <w:p>
      <w:pPr>
        <w:pStyle w:val="0"/>
        <w:spacing w:before="200" w:lineRule="auto"/>
        <w:ind w:firstLine="540"/>
        <w:jc w:val="both"/>
      </w:pPr>
      <w:r>
        <w:rPr>
          <w:sz w:val="20"/>
        </w:rPr>
        <w:t xml:space="preserve">Указанные обстоятельства послужили основанием для обращения истца с рассматриваемым иском в суд.</w:t>
      </w:r>
    </w:p>
    <w:p>
      <w:pPr>
        <w:pStyle w:val="0"/>
        <w:spacing w:before="200" w:lineRule="auto"/>
        <w:ind w:firstLine="540"/>
        <w:jc w:val="both"/>
      </w:pPr>
      <w:r>
        <w:rPr>
          <w:sz w:val="20"/>
        </w:rPr>
        <w:t xml:space="preserve">Суд первой инстанции пришел к выводу о доказанности обстоятельств, необходимых для взыскания с ответчика убытков, а также о наличии причинно-следственной связи между действиями (бездействием) ответчика и причинением ущерба в результате затопления помещений, в связи с чем удовлетворил исковые требования в размере 12 387 273 руб. 40 коп.</w:t>
      </w:r>
    </w:p>
    <w:p>
      <w:pPr>
        <w:pStyle w:val="0"/>
        <w:spacing w:before="200" w:lineRule="auto"/>
        <w:ind w:firstLine="540"/>
        <w:jc w:val="both"/>
      </w:pPr>
      <w:r>
        <w:rPr>
          <w:sz w:val="20"/>
        </w:rPr>
        <w:t xml:space="preserve">Суд апелляционной инстанции согласился с выводами суда первой инстанции.</w:t>
      </w:r>
    </w:p>
    <w:p>
      <w:pPr>
        <w:pStyle w:val="0"/>
        <w:spacing w:before="200" w:lineRule="auto"/>
        <w:ind w:firstLine="540"/>
        <w:jc w:val="both"/>
      </w:pPr>
      <w:r>
        <w:rPr>
          <w:sz w:val="20"/>
        </w:rPr>
        <w:t xml:space="preserve">Суд кассационной инстанции, рассмотрев доводы кассационной жалобы и дополнения к ней, изучив материалы дела, проверив правильность выводов судов первой и апелляционной инстанций, находит обжалуемые судебные акты подлежащими отмене по следующим основаниям.</w:t>
      </w:r>
    </w:p>
    <w:p>
      <w:pPr>
        <w:pStyle w:val="0"/>
        <w:spacing w:before="200" w:lineRule="auto"/>
        <w:ind w:firstLine="540"/>
        <w:jc w:val="both"/>
      </w:pPr>
      <w:r>
        <w:rPr>
          <w:sz w:val="20"/>
        </w:rPr>
        <w:t xml:space="preserve">Как усматривается из содержания обжалуемых решения и постановления, удовлетворяя исковые требования общества "НП Автомир", суды исходили из того, что материалами дела подтверждается наличие причинно-следственной связи между действиями общества "Электропрофит", выразившимися в поставке светильника, в результате аварийной работы одного из поставленных светильников, вызванной допущением производственного брака при его изготовлении, в здании произошел пожар повлекший гибель имущества и возникновение убытков, причиненных этим пожаром, в связи с чем ответчик как поставщик светильника должен возместить убытки, размер которых подтвержден результатами оценочной экспертизы.</w:t>
      </w:r>
    </w:p>
    <w:p>
      <w:pPr>
        <w:pStyle w:val="0"/>
        <w:spacing w:before="200" w:lineRule="auto"/>
        <w:ind w:firstLine="540"/>
        <w:jc w:val="both"/>
      </w:pPr>
      <w:r>
        <w:rPr>
          <w:sz w:val="20"/>
        </w:rPr>
        <w:t xml:space="preserve">Между тем при рассмотрении настоящего дела судами первой и апелляционной инстанций не учтено следующее.</w:t>
      </w:r>
    </w:p>
    <w:p>
      <w:pPr>
        <w:pStyle w:val="0"/>
        <w:spacing w:before="200" w:lineRule="auto"/>
        <w:ind w:firstLine="540"/>
        <w:jc w:val="both"/>
      </w:pPr>
      <w:r>
        <w:rPr>
          <w:sz w:val="20"/>
        </w:rPr>
        <w:t xml:space="preserve">В соответствии со </w:t>
      </w:r>
      <w:hyperlink w:history="0" r:id="rId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210</w:t>
        </w:r>
      </w:hyperlink>
      <w:r>
        <w:rPr>
          <w:sz w:val="20"/>
        </w:rPr>
        <w:t xml:space="preserve">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pPr>
        <w:pStyle w:val="0"/>
        <w:spacing w:before="200" w:lineRule="auto"/>
        <w:ind w:firstLine="540"/>
        <w:jc w:val="both"/>
      </w:pPr>
      <w:r>
        <w:rPr>
          <w:sz w:val="20"/>
        </w:rPr>
        <w:t xml:space="preserve">Собственник имущества обязан обеспечить исправное и безопасное использование и функционирование своего имущества, исключающее причинение вреда иным лицам, а при его наличии возместить вред.</w:t>
      </w:r>
    </w:p>
    <w:p>
      <w:pPr>
        <w:pStyle w:val="0"/>
        <w:spacing w:before="200" w:lineRule="auto"/>
        <w:ind w:firstLine="540"/>
        <w:jc w:val="both"/>
      </w:pPr>
      <w:r>
        <w:rPr>
          <w:sz w:val="20"/>
        </w:rPr>
        <w:t xml:space="preserve">Общие правовые вопросы регулирования в области обеспечения пожарной безопасности, отношения между учреждениями, организациями и иными юридическими лицами независимо от их организационно-правовых форм и форм собственности, определяются Федеральным </w:t>
      </w:r>
      <w:hyperlink w:history="0" r:id="rId12" w:tooltip="Федеральный закон от 21.12.1994 N 69-ФЗ (ред. от 08.08.2024) &quot;О пожарной безопасности&quot; (с изм. и доп., вступ. в силу с 01.03.2025) ------------ Недействующая редакция {КонсультантПлюс}">
        <w:r>
          <w:rPr>
            <w:sz w:val="20"/>
            <w:color w:val="0000ff"/>
          </w:rPr>
          <w:t xml:space="preserve">законом</w:t>
        </w:r>
      </w:hyperlink>
      <w:r>
        <w:rPr>
          <w:sz w:val="20"/>
        </w:rPr>
        <w:t xml:space="preserve"> от 21.12.1994 N 69-ФЗ "О пожарной безопасности" (далее - Закон о пожарной безопасности).</w:t>
      </w:r>
    </w:p>
    <w:p>
      <w:pPr>
        <w:pStyle w:val="0"/>
        <w:spacing w:before="200" w:lineRule="auto"/>
        <w:ind w:firstLine="540"/>
        <w:jc w:val="both"/>
      </w:pPr>
      <w:r>
        <w:rPr>
          <w:sz w:val="20"/>
        </w:rPr>
        <w:t xml:space="preserve">Требования пожарной безопасности установлены </w:t>
      </w:r>
      <w:hyperlink w:history="0" r:id="rId13" w:tooltip="Постановление Правительства РФ от 25.04.2012 N 390 (ред. от 23.04.2020) &quot;О противопожарном режиме&quot; (вместе с &quot;Правилами противопожарного режима в Российской Федерации&quot;) ------------ Утратил силу или отменен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25.04.2012 N 390 "О противопожарном режиме" (далее - Правила противопожарного режима), применяемыми к рассматриваемым правоотношениям, и нормативными правовыми актами о пожарной безопасности, к которым относятся технические регламенты, принятые в соответствии с Федеральным </w:t>
      </w:r>
      <w:hyperlink w:history="0" r:id="rId14" w:tooltip="Федеральный закон от 27.12.2002 N 184-ФЗ (ред. от 25.12.2023) &quot;О техническом регулировании&quot; ------------ Недействующая редакция {КонсультантПлюс}">
        <w:r>
          <w:rPr>
            <w:sz w:val="20"/>
            <w:color w:val="0000ff"/>
          </w:rPr>
          <w:t xml:space="preserve">законом</w:t>
        </w:r>
      </w:hyperlink>
      <w:r>
        <w:rPr>
          <w:sz w:val="20"/>
        </w:rPr>
        <w:t xml:space="preserve">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 а также национальные стандарты, своды правил, содержащие требования пожарной безопасности и иные документы, содержащие требования пожарной безопасности, применение которых на добровольной основе обеспечивает соблюдение требований Федерального </w:t>
      </w:r>
      <w:hyperlink w:history="0" r:id="rId15" w:tooltip="Федеральный закон от 22.07.2008 N 123-ФЗ (ред. от 25.12.2023) &quot;Технический регламент о требованиях пожарной безопасности&quot; ------------ Недействующая редакция {КонсультантПлюс}">
        <w:r>
          <w:rPr>
            <w:sz w:val="20"/>
            <w:color w:val="0000ff"/>
          </w:rPr>
          <w:t xml:space="preserve">закона</w:t>
        </w:r>
      </w:hyperlink>
      <w:r>
        <w:rPr>
          <w:sz w:val="20"/>
        </w:rPr>
        <w:t xml:space="preserve"> от 22.07.2008 N 123-ФЗ "Технический регламент о требованиях пожарной безопасности".</w:t>
      </w:r>
    </w:p>
    <w:p>
      <w:pPr>
        <w:pStyle w:val="0"/>
        <w:spacing w:before="200" w:lineRule="auto"/>
        <w:ind w:firstLine="540"/>
        <w:jc w:val="both"/>
      </w:pPr>
      <w:r>
        <w:rPr>
          <w:sz w:val="20"/>
        </w:rPr>
        <w:t xml:space="preserve">В соответствии с </w:t>
      </w:r>
      <w:hyperlink w:history="0" r:id="rId16" w:tooltip="Постановление Правительства РФ от 25.04.2012 N 390 (ред. от 23.04.2020) &quot;О противопожарном режиме&quot; (вместе с &quot;Правилами противопожарного режима в Российской Федерации&quot;) ------------ Утратил силу или отменен {КонсультантПлюс}">
        <w:r>
          <w:rPr>
            <w:sz w:val="20"/>
            <w:color w:val="0000ff"/>
          </w:rPr>
          <w:t xml:space="preserve">пунктом 40</w:t>
        </w:r>
      </w:hyperlink>
      <w:r>
        <w:rPr>
          <w:sz w:val="20"/>
        </w:rPr>
        <w:t xml:space="preserve"> Правил противопожарного режима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pPr>
        <w:pStyle w:val="0"/>
        <w:spacing w:before="200" w:lineRule="auto"/>
        <w:ind w:firstLine="540"/>
        <w:jc w:val="both"/>
      </w:pPr>
      <w:r>
        <w:rPr>
          <w:sz w:val="20"/>
        </w:rPr>
        <w:t xml:space="preserve">В силу </w:t>
      </w:r>
      <w:hyperlink w:history="0" r:id="rId17" w:tooltip="Федеральный закон от 21.12.1994 N 69-ФЗ (ред. от 08.08.2024) &quot;О пожарной безопасности&quot; (с изм. и доп., вступ. в силу с 01.03.2025) ------------ Недействующая редакция {КонсультантПлюс}">
        <w:r>
          <w:rPr>
            <w:sz w:val="20"/>
            <w:color w:val="0000ff"/>
          </w:rPr>
          <w:t xml:space="preserve">части 1 статьи 38</w:t>
        </w:r>
      </w:hyperlink>
      <w:r>
        <w:rPr>
          <w:sz w:val="20"/>
        </w:rPr>
        <w:t xml:space="preserve"> Закона о пожарной безопасности ответственность за нарушение требований пожарной безопасности в соответствии с действующим законодательством несут, в том числе собственники имущества и лица, уполномоченные владеть, пользоваться или распоряжаться имуществом.</w:t>
      </w:r>
    </w:p>
    <w:p>
      <w:pPr>
        <w:pStyle w:val="0"/>
        <w:spacing w:before="200" w:lineRule="auto"/>
        <w:ind w:firstLine="540"/>
        <w:jc w:val="both"/>
      </w:pPr>
      <w:r>
        <w:rPr>
          <w:sz w:val="20"/>
        </w:rPr>
        <w:t xml:space="preserve">Следовательно, таким лицом может быть как собственник, так и арендодатель и арендатор.</w:t>
      </w:r>
    </w:p>
    <w:p>
      <w:pPr>
        <w:pStyle w:val="0"/>
        <w:spacing w:before="200" w:lineRule="auto"/>
        <w:ind w:firstLine="540"/>
        <w:jc w:val="both"/>
      </w:pPr>
      <w:r>
        <w:rPr>
          <w:sz w:val="20"/>
        </w:rPr>
        <w:t xml:space="preserve">Согласно </w:t>
      </w:r>
      <w:hyperlink w:history="0" r:id="rId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пункту 3 статьи 401</w:t>
        </w:r>
      </w:hyperlink>
      <w:r>
        <w:rPr>
          <w:sz w:val="20"/>
        </w:rPr>
        <w:t xml:space="preserve"> Гражданского кодекса Российской Федерации,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0"/>
        <w:spacing w:before="200" w:lineRule="auto"/>
        <w:ind w:firstLine="540"/>
        <w:jc w:val="both"/>
      </w:pPr>
      <w:r>
        <w:rPr>
          <w:sz w:val="20"/>
        </w:rPr>
        <w:t xml:space="preserve">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hyperlink w:history="0" r:id="rId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404</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Положения </w:t>
      </w:r>
      <w:hyperlink w:history="0" r:id="rId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пункта 1 статьи 404</w:t>
        </w:r>
      </w:hyperlink>
      <w:r>
        <w:rPr>
          <w:sz w:val="20"/>
        </w:rPr>
        <w:t xml:space="preserve"> Гражданского кодекса Российской Федерации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 (</w:t>
      </w:r>
      <w:hyperlink w:history="0" r:id="rId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404</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Однако доводы общества "Электропрофит" о том, что помещение, в котором произошло возгорание должно было быть надлежащим образом оборудовано автоматическими системами пожаротушения, а также системами оповещения со ссылкой на </w:t>
      </w:r>
      <w:hyperlink w:history="0" r:id="rId22" w:tooltip="Постановление Правительства РФ от 01.09.2021 N 1464 &quot;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quot; {КонсультантПлюс}">
        <w:r>
          <w:rPr>
            <w:sz w:val="20"/>
            <w:color w:val="0000ff"/>
          </w:rPr>
          <w:t xml:space="preserve">Постановление</w:t>
        </w:r>
      </w:hyperlink>
      <w:r>
        <w:rPr>
          <w:sz w:val="20"/>
        </w:rPr>
        <w:t xml:space="preserve"> Правительства Российской Федерации от 01.09.2021 N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 оставлены без внимания и оценки со стороны судов первой и апелляционной инстанций.</w:t>
      </w:r>
    </w:p>
    <w:p>
      <w:pPr>
        <w:pStyle w:val="0"/>
        <w:spacing w:before="200" w:lineRule="auto"/>
        <w:ind w:firstLine="540"/>
        <w:jc w:val="both"/>
      </w:pPr>
      <w:r>
        <w:rPr>
          <w:sz w:val="20"/>
        </w:rPr>
        <w:t xml:space="preserve">Как указывает заявитель кассационной жалобы собственником помещения, в котором расположен автосалон, где произошел пожар, является общество с ограниченной ответственностью "Виорайс", между тем указанное лицо к участие в деле не привлечено.</w:t>
      </w:r>
    </w:p>
    <w:p>
      <w:pPr>
        <w:pStyle w:val="0"/>
        <w:spacing w:before="200" w:lineRule="auto"/>
        <w:ind w:firstLine="540"/>
        <w:jc w:val="both"/>
      </w:pPr>
      <w:r>
        <w:rPr>
          <w:sz w:val="20"/>
        </w:rPr>
        <w:t xml:space="preserve">В соответствии с </w:t>
      </w:r>
      <w:hyperlink w:history="0" r:id="rId2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частью 1 статьи 51</w:t>
        </w:r>
      </w:hyperlink>
      <w:r>
        <w:rPr>
          <w:sz w:val="20"/>
        </w:rPr>
        <w:t xml:space="preserve"> Арбитражного процессуального кодекса Российской Федерации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арбитражного суда, если этот судебный акт может повлиять на их права или обязанности по отношению к одной из сторон. Они могут быть привлечены к участию в деле также по ходатайству стороны или по инициативе суда.</w:t>
      </w:r>
    </w:p>
    <w:p>
      <w:pPr>
        <w:pStyle w:val="0"/>
        <w:spacing w:before="200" w:lineRule="auto"/>
        <w:ind w:firstLine="540"/>
        <w:jc w:val="both"/>
      </w:pPr>
      <w:r>
        <w:rPr>
          <w:sz w:val="20"/>
        </w:rPr>
        <w:t xml:space="preserve">В нарушение требований </w:t>
      </w:r>
      <w:hyperlink w:history="0" r:id="rId2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51</w:t>
        </w:r>
      </w:hyperlink>
      <w:r>
        <w:rPr>
          <w:sz w:val="20"/>
        </w:rPr>
        <w:t xml:space="preserve"> Арбитражного процессуального кодекса Российской Федерации при рассмотрении дела суды не установили собственника помещения, и не рассмотрели вопрос о привлечении установленного лица к участию в деле в качестве третьих лиц, не заявляющих самостоятельных требований относительно предмета спора.</w:t>
      </w:r>
    </w:p>
    <w:p>
      <w:pPr>
        <w:pStyle w:val="0"/>
        <w:spacing w:before="200" w:lineRule="auto"/>
        <w:ind w:firstLine="540"/>
        <w:jc w:val="both"/>
      </w:pPr>
      <w:r>
        <w:rPr>
          <w:sz w:val="20"/>
        </w:rPr>
        <w:t xml:space="preserve">Таким образом, разрешая спор по существу, суды не установили собственника здания и не проверили соблюдение правил противопожарной безопасности.</w:t>
      </w:r>
    </w:p>
    <w:p>
      <w:pPr>
        <w:pStyle w:val="0"/>
        <w:spacing w:before="200" w:lineRule="auto"/>
        <w:ind w:firstLine="540"/>
        <w:jc w:val="both"/>
      </w:pPr>
      <w:r>
        <w:rPr>
          <w:sz w:val="20"/>
        </w:rPr>
        <w:t xml:space="preserve">Кроме того, внимания и проверки со стороны судов заслуживал довод общества "Электропрофит" о соблюдении правил эксплуатации и срока годности спорного светильника, указанный довод также остался без оценки со стороны судов.</w:t>
      </w:r>
    </w:p>
    <w:p>
      <w:pPr>
        <w:pStyle w:val="0"/>
        <w:spacing w:before="200" w:lineRule="auto"/>
        <w:ind w:firstLine="540"/>
        <w:jc w:val="both"/>
      </w:pPr>
      <w:r>
        <w:rPr>
          <w:sz w:val="20"/>
        </w:rPr>
        <w:t xml:space="preserve">Между тем обязанностью суда, предусмотренной действующим законодательством, являлось установление наличия совокупности всех условий для наступления ответственности в виде взыскания убытков с учетом всех обстоятельств дела и исходя из принципов справедливости и соразмерности ответственности допущенному нарушению. Однако суд первой инстанции от данной обязанности фактически уклонился, не рассмотрев по существу все доводы, заявленные в настоящем деле со ссылками на конкретные обстоятельства и положения нормативных правовых актов.</w:t>
      </w:r>
    </w:p>
    <w:p>
      <w:pPr>
        <w:pStyle w:val="0"/>
        <w:spacing w:before="200" w:lineRule="auto"/>
        <w:ind w:firstLine="540"/>
        <w:jc w:val="both"/>
      </w:pPr>
      <w:r>
        <w:rPr>
          <w:sz w:val="20"/>
        </w:rPr>
        <w:t xml:space="preserve">Апелляционный суд недостатки, допущенные судом первой инстанции при рассмотрении спора в части установления обстоятельств, имеющих значение для дела, не исправил.</w:t>
      </w:r>
    </w:p>
    <w:p>
      <w:pPr>
        <w:pStyle w:val="0"/>
        <w:spacing w:before="200" w:lineRule="auto"/>
        <w:ind w:firstLine="540"/>
        <w:jc w:val="both"/>
      </w:pPr>
      <w:r>
        <w:rPr>
          <w:sz w:val="20"/>
        </w:rPr>
        <w:t xml:space="preserve">В соответствии с </w:t>
      </w:r>
      <w:hyperlink w:history="0" r:id="rId2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частью 4 статьи 15</w:t>
        </w:r>
      </w:hyperlink>
      <w:r>
        <w:rPr>
          <w:sz w:val="20"/>
        </w:rPr>
        <w:t xml:space="preserve"> Арбитражного процессуального кодекса Российской Федерации, принимаемые арбитражным судом судебные приказы, решения, постановления, определения должны быть законными, обоснованными и мотивированными.</w:t>
      </w:r>
    </w:p>
    <w:p>
      <w:pPr>
        <w:pStyle w:val="0"/>
        <w:spacing w:before="200" w:lineRule="auto"/>
        <w:ind w:firstLine="540"/>
        <w:jc w:val="both"/>
      </w:pPr>
      <w:r>
        <w:rPr>
          <w:sz w:val="20"/>
        </w:rPr>
        <w:t xml:space="preserve">Судебный акт является законным и обоснованным, если в нем изложены все имеющие значение для дела обстоятельства, всесторонне и полно выясненные в судебном заседании, и приведены доказательства в подтверждение доводов об установленных обстоятельствах дела, правах и обязанностях сторон.</w:t>
      </w:r>
    </w:p>
    <w:p>
      <w:pPr>
        <w:pStyle w:val="0"/>
        <w:spacing w:before="200" w:lineRule="auto"/>
        <w:ind w:firstLine="540"/>
        <w:jc w:val="both"/>
      </w:pPr>
      <w:r>
        <w:rPr>
          <w:sz w:val="20"/>
        </w:rPr>
        <w:t xml:space="preserve">В соответствии с </w:t>
      </w:r>
      <w:hyperlink w:history="0" r:id="rId2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частями 2</w:t>
        </w:r>
      </w:hyperlink>
      <w:r>
        <w:rPr>
          <w:sz w:val="20"/>
        </w:rPr>
        <w:t xml:space="preserve">, </w:t>
      </w:r>
      <w:hyperlink w:history="0" r:id="rId2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4</w:t>
        </w:r>
      </w:hyperlink>
      <w:r>
        <w:rPr>
          <w:sz w:val="20"/>
        </w:rPr>
        <w:t xml:space="preserve">, </w:t>
      </w:r>
      <w:hyperlink w:history="0" r:id="rId2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7 статьи 71</w:t>
        </w:r>
      </w:hyperlink>
      <w:r>
        <w:rPr>
          <w:sz w:val="20"/>
        </w:rPr>
        <w:t xml:space="preserve"> Арбитражного процессуального кодекса Российской Федерации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Каждое доказательство подлежит оценке арбитражным судом наряду с другими доказательствами. Результаты оценки доказательств суд отражает в судебном акте, содержащем мотивы принятия или отказа в принятии доказательств, представленных лицами, участвующими в деле, в обоснование своих требований и возражений.</w:t>
      </w:r>
    </w:p>
    <w:p>
      <w:pPr>
        <w:pStyle w:val="0"/>
        <w:spacing w:before="200" w:lineRule="auto"/>
        <w:ind w:firstLine="540"/>
        <w:jc w:val="both"/>
      </w:pPr>
      <w:r>
        <w:rPr>
          <w:sz w:val="20"/>
        </w:rPr>
        <w:t xml:space="preserve">Экспертное заключение исследуется наряду с другими доказательствами по делу (</w:t>
      </w:r>
      <w:hyperlink w:history="0" r:id="rId2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 86</w:t>
        </w:r>
      </w:hyperlink>
      <w:r>
        <w:rPr>
          <w:sz w:val="20"/>
        </w:rPr>
        <w:t xml:space="preserve"> Арбитражного процессуального кодекса Российской Федерации).</w:t>
      </w:r>
    </w:p>
    <w:p>
      <w:pPr>
        <w:pStyle w:val="0"/>
        <w:spacing w:before="200" w:lineRule="auto"/>
        <w:ind w:firstLine="540"/>
        <w:jc w:val="both"/>
      </w:pPr>
      <w:r>
        <w:rPr>
          <w:sz w:val="20"/>
        </w:rPr>
        <w:t xml:space="preserve">Согласно </w:t>
      </w:r>
      <w:hyperlink w:history="0" r:id="rId3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1 статьи 168</w:t>
        </w:r>
      </w:hyperlink>
      <w:r>
        <w:rPr>
          <w:sz w:val="20"/>
        </w:rPr>
        <w:t xml:space="preserve"> данного Кодекса 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w:t>
      </w:r>
    </w:p>
    <w:p>
      <w:pPr>
        <w:pStyle w:val="0"/>
        <w:spacing w:before="200" w:lineRule="auto"/>
        <w:ind w:firstLine="540"/>
        <w:jc w:val="both"/>
      </w:pPr>
      <w:r>
        <w:rPr>
          <w:sz w:val="20"/>
        </w:rPr>
        <w:t xml:space="preserve">определяет, какие обстоятельства, имеющие значение для дела, установлены и какие обстоятельства не установлены.</w:t>
      </w:r>
    </w:p>
    <w:p>
      <w:pPr>
        <w:pStyle w:val="0"/>
        <w:spacing w:before="200" w:lineRule="auto"/>
        <w:ind w:firstLine="540"/>
        <w:jc w:val="both"/>
      </w:pPr>
      <w:r>
        <w:rPr>
          <w:sz w:val="20"/>
        </w:rPr>
        <w:t xml:space="preserve">Исходя из </w:t>
      </w:r>
      <w:hyperlink w:history="0" r:id="rId3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пункта 12 части 2 статьи 271</w:t>
        </w:r>
      </w:hyperlink>
      <w:r>
        <w:rPr>
          <w:sz w:val="20"/>
        </w:rPr>
        <w:t xml:space="preserve"> в судебном акте суда апелляционной инстанции должны быть указаны обстоятельства дела, установленные арбитражным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pPr>
        <w:pStyle w:val="0"/>
        <w:spacing w:before="200" w:lineRule="auto"/>
        <w:ind w:firstLine="540"/>
        <w:jc w:val="both"/>
      </w:pPr>
      <w:r>
        <w:rPr>
          <w:sz w:val="20"/>
        </w:rPr>
        <w:t xml:space="preserve">Судами в нарушение положений арбитражно-процессуального законодательства не проверены все доводы лиц, участвующих в деле, и не дана надлежащая оценка всем имеющимся в деле доказательствам относительно соблюдения/несоблюдения правил противопожарной безопасности, наличия/отсутствия вины истца в причинении убытков.</w:t>
      </w:r>
    </w:p>
    <w:p>
      <w:pPr>
        <w:pStyle w:val="0"/>
        <w:spacing w:before="200" w:lineRule="auto"/>
        <w:ind w:firstLine="540"/>
        <w:jc w:val="both"/>
      </w:pPr>
      <w:r>
        <w:rPr>
          <w:sz w:val="20"/>
        </w:rPr>
        <w:t xml:space="preserve">Принимая во внимание изложенное, в данном случае выводы судов первой и апелляционной инстанций о наличии оснований для удовлетворения требований истца в полном объеме являются преждевременными, сделаны без учета и установления всех обстоятельств дела.</w:t>
      </w:r>
    </w:p>
    <w:p>
      <w:pPr>
        <w:pStyle w:val="0"/>
        <w:spacing w:before="200" w:lineRule="auto"/>
        <w:ind w:firstLine="540"/>
        <w:jc w:val="both"/>
      </w:pPr>
      <w:r>
        <w:rPr>
          <w:sz w:val="20"/>
        </w:rPr>
        <w:t xml:space="preserve">Согласно </w:t>
      </w:r>
      <w:hyperlink w:history="0" r:id="rId3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1 статьи 288</w:t>
        </w:r>
      </w:hyperlink>
      <w:r>
        <w:rPr>
          <w:sz w:val="20"/>
        </w:rPr>
        <w:t xml:space="preserve"> Арбитражного процессуального кодекса Российской Федерации основанием для отмены решения, постановления арбитражного суда первой и апелляционной инстанций является несоответствие выводов суда, содержащихся в судебном акте, фактическим обстоятельствам дела, установленным судами, и имеющимся в деле доказательствам, нарушение либо неправильное применение норм материального права или норм процессуального права.</w:t>
      </w:r>
    </w:p>
    <w:p>
      <w:pPr>
        <w:pStyle w:val="0"/>
        <w:spacing w:before="200" w:lineRule="auto"/>
        <w:ind w:firstLine="540"/>
        <w:jc w:val="both"/>
      </w:pPr>
      <w:r>
        <w:rPr>
          <w:sz w:val="20"/>
        </w:rPr>
        <w:t xml:space="preserve">С учетом изложенного, суд кассационной инстанции приходит к выводу, что судами не установлены все обстоятельства дела, имеющие существенное значение для правильного разрешения спора и необходимые для принятия законного и обоснованного судебного акта, нарушены нормы материального и процессуального права, в связи с чем, обжалуемые решение суда первой инстанции и постановление суда апелляционной инстанции в силу </w:t>
      </w:r>
      <w:hyperlink w:history="0" r:id="rId3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пункта 3 части 1 статьи 287</w:t>
        </w:r>
      </w:hyperlink>
      <w:r>
        <w:rPr>
          <w:sz w:val="20"/>
        </w:rPr>
        <w:t xml:space="preserve">, </w:t>
      </w:r>
      <w:hyperlink w:history="0" r:id="rId3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1 статьи 288</w:t>
        </w:r>
      </w:hyperlink>
      <w:r>
        <w:rPr>
          <w:sz w:val="20"/>
        </w:rPr>
        <w:t xml:space="preserve"> Арбитражного процессуального кодекса Российской Федерации подлежат отмене с направлением дела на новое рассмотрение в арбитражный суд первой инстанции.</w:t>
      </w:r>
    </w:p>
    <w:p>
      <w:pPr>
        <w:pStyle w:val="0"/>
        <w:spacing w:before="200" w:lineRule="auto"/>
        <w:ind w:firstLine="540"/>
        <w:jc w:val="both"/>
      </w:pPr>
      <w:r>
        <w:rPr>
          <w:sz w:val="20"/>
        </w:rPr>
        <w:t xml:space="preserve">При новом рассмотрении дела суду первой инстанции следует учесть вышеизложенное, полно и всесторонне исследовать и оценить имеющиеся в деле доказательства, принять меры к получению дополнительных доказательств и выяснению обстоятельств, приведенных в постановлении, в том числе в отношении доводов о необходимости привлечения к участию третьих лиц, не заявляющих самостоятельных требований относительно предмета спора, проверить все заявленные сторонами доводы, как в отношении фактических обстоятельств, так и подлежащего применению законодательства, принять судебный акт при правильном применении норм материального и соблюдении норм процессуального права, в котором указать мотивы, по которым суд согласился с доводами и возражениями участвующих в деле лиц или отклонил их, со ссылкой на нормы права.</w:t>
      </w:r>
    </w:p>
    <w:p>
      <w:pPr>
        <w:pStyle w:val="0"/>
        <w:spacing w:before="200" w:lineRule="auto"/>
        <w:ind w:firstLine="540"/>
        <w:jc w:val="both"/>
      </w:pPr>
      <w:r>
        <w:rPr>
          <w:sz w:val="20"/>
        </w:rPr>
        <w:t xml:space="preserve">Руководствуясь </w:t>
      </w:r>
      <w:hyperlink w:history="0" r:id="rId3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 ст. 286</w:t>
        </w:r>
      </w:hyperlink>
      <w:r>
        <w:rPr>
          <w:sz w:val="20"/>
        </w:rPr>
        <w:t xml:space="preserve"> - </w:t>
      </w:r>
      <w:hyperlink w:history="0" r:id="rId3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289</w:t>
        </w:r>
      </w:hyperlink>
      <w:r>
        <w:rPr>
          <w:sz w:val="20"/>
        </w:rPr>
        <w:t xml:space="preserve"> Арбитражного процессуального кодекса Российской Федерации, суд</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37" w:tooltip="Ссылка на КонсультантПлюс">
        <w:r>
          <w:rPr>
            <w:sz w:val="20"/>
            <w:color w:val="0000ff"/>
          </w:rPr>
          <w:t xml:space="preserve">решение</w:t>
        </w:r>
      </w:hyperlink>
      <w:r>
        <w:rPr>
          <w:sz w:val="20"/>
        </w:rPr>
        <w:t xml:space="preserve"> Арбитражного суда Челябинской области от 25.09.2025 по делу N А76-29156/2023 и </w:t>
      </w:r>
      <w:hyperlink w:history="0" r:id="rId38" w:tooltip="Ссылка на КонсультантПлюс">
        <w:r>
          <w:rPr>
            <w:sz w:val="20"/>
            <w:color w:val="0000ff"/>
          </w:rPr>
          <w:t xml:space="preserve">постановление</w:t>
        </w:r>
      </w:hyperlink>
      <w:r>
        <w:rPr>
          <w:sz w:val="20"/>
        </w:rPr>
        <w:t xml:space="preserve"> Восемнадцатого арбитражного апелляционного суда от 19.12.2025 по тому же делу отменить.</w:t>
      </w:r>
    </w:p>
    <w:p>
      <w:pPr>
        <w:pStyle w:val="0"/>
        <w:spacing w:before="200" w:lineRule="auto"/>
        <w:ind w:firstLine="540"/>
        <w:jc w:val="both"/>
      </w:pPr>
      <w:r>
        <w:rPr>
          <w:sz w:val="20"/>
        </w:rPr>
        <w:t xml:space="preserve">Дело направить на новое рассмотрение в Арбитражный суд Челябинской области.</w:t>
      </w:r>
    </w:p>
    <w:p>
      <w:pPr>
        <w:pStyle w:val="0"/>
        <w:spacing w:before="200" w:lineRule="auto"/>
        <w:ind w:firstLine="540"/>
        <w:jc w:val="both"/>
      </w:pPr>
      <w:r>
        <w:rPr>
          <w:sz w:val="20"/>
        </w:rP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w:history="0" r:id="rId3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 291.1</w:t>
        </w:r>
      </w:hyperlink>
      <w:r>
        <w:rPr>
          <w:sz w:val="20"/>
        </w:rPr>
        <w:t xml:space="preserve"> Арбитражного процессуального кодекса Российской Федерации.</w:t>
      </w:r>
    </w:p>
    <w:p>
      <w:pPr>
        <w:pStyle w:val="0"/>
        <w:ind w:firstLine="540"/>
        <w:jc w:val="both"/>
      </w:pPr>
      <w:r>
        <w:rPr>
          <w:sz w:val="20"/>
        </w:rPr>
      </w:r>
    </w:p>
    <w:p>
      <w:pPr>
        <w:pStyle w:val="0"/>
        <w:jc w:val="right"/>
      </w:pPr>
      <w:r>
        <w:rPr>
          <w:sz w:val="20"/>
        </w:rPr>
        <w:t xml:space="preserve">Председательствующий</w:t>
      </w:r>
    </w:p>
    <w:p>
      <w:pPr>
        <w:pStyle w:val="0"/>
        <w:jc w:val="right"/>
      </w:pPr>
      <w:r>
        <w:rPr>
          <w:sz w:val="20"/>
        </w:rPr>
        <w:t xml:space="preserve">И.А.КРАСНОБАЕВА</w:t>
      </w:r>
    </w:p>
    <w:p>
      <w:pPr>
        <w:pStyle w:val="0"/>
        <w:jc w:val="right"/>
      </w:pPr>
      <w:r>
        <w:rPr>
          <w:sz w:val="20"/>
        </w:rPr>
      </w:r>
    </w:p>
    <w:p>
      <w:pPr>
        <w:pStyle w:val="0"/>
        <w:jc w:val="right"/>
      </w:pPr>
      <w:r>
        <w:rPr>
          <w:sz w:val="20"/>
        </w:rPr>
        <w:t xml:space="preserve">Судьи</w:t>
      </w:r>
    </w:p>
    <w:p>
      <w:pPr>
        <w:pStyle w:val="0"/>
        <w:jc w:val="right"/>
      </w:pPr>
      <w:r>
        <w:rPr>
          <w:sz w:val="20"/>
        </w:rPr>
        <w:t xml:space="preserve">У.В.ЖУРАВЛЕВА</w:t>
      </w:r>
    </w:p>
    <w:p>
      <w:pPr>
        <w:pStyle w:val="0"/>
        <w:jc w:val="right"/>
      </w:pPr>
      <w:r>
        <w:rPr>
          <w:sz w:val="20"/>
        </w:rPr>
        <w:t xml:space="preserve">Е.И.ГУЛЯЕВА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ASUR&amp;n=3084683" TargetMode = "External"/><Relationship Id="rId4" Type="http://schemas.openxmlformats.org/officeDocument/2006/relationships/hyperlink" Target="https://login.consultant.ru/link/?req=doc&amp;base=RAPS018&amp;n=234119" TargetMode = "External"/><Relationship Id="rId5" Type="http://schemas.openxmlformats.org/officeDocument/2006/relationships/hyperlink" Target="https://login.consultant.ru/link/?req=doc&amp;base=ASUR&amp;n=3084683" TargetMode = "External"/><Relationship Id="rId6" Type="http://schemas.openxmlformats.org/officeDocument/2006/relationships/hyperlink" Target="https://login.consultant.ru/link/?req=doc&amp;base=RAPS018&amp;n=234119" TargetMode = "External"/><Relationship Id="rId7" Type="http://schemas.openxmlformats.org/officeDocument/2006/relationships/hyperlink" Target="https://login.consultant.ru/link/?req=doc&amp;base=LAW&amp;n=394758" TargetMode = "External"/><Relationship Id="rId8" Type="http://schemas.openxmlformats.org/officeDocument/2006/relationships/hyperlink" Target="https://login.consultant.ru/link/?req=doc&amp;base=LAW&amp;n=510655&amp;dst=2333" TargetMode = "External"/><Relationship Id="rId9" Type="http://schemas.openxmlformats.org/officeDocument/2006/relationships/hyperlink" Target="https://login.consultant.ru/link/?req=doc&amp;base=LAW&amp;n=510655&amp;dst=101085" TargetMode = "External"/><Relationship Id="rId10" Type="http://schemas.openxmlformats.org/officeDocument/2006/relationships/hyperlink" Target="https://login.consultant.ru/link/?req=doc&amp;base=LAW&amp;n=510655&amp;dst=101092" TargetMode = "External"/><Relationship Id="rId11" Type="http://schemas.openxmlformats.org/officeDocument/2006/relationships/hyperlink" Target="https://login.consultant.ru/link/?req=doc&amp;base=LAW&amp;n=508490&amp;dst=101130" TargetMode = "External"/><Relationship Id="rId12" Type="http://schemas.openxmlformats.org/officeDocument/2006/relationships/hyperlink" Target="https://login.consultant.ru/link/?req=doc&amp;base=LAW&amp;n=489137" TargetMode = "External"/><Relationship Id="rId13" Type="http://schemas.openxmlformats.org/officeDocument/2006/relationships/hyperlink" Target="https://login.consultant.ru/link/?req=doc&amp;base=LAW&amp;n=351463&amp;dst=100009" TargetMode = "External"/><Relationship Id="rId14" Type="http://schemas.openxmlformats.org/officeDocument/2006/relationships/hyperlink" Target="https://login.consultant.ru/link/?req=doc&amp;base=LAW&amp;n=484451" TargetMode = "External"/><Relationship Id="rId15" Type="http://schemas.openxmlformats.org/officeDocument/2006/relationships/hyperlink" Target="https://login.consultant.ru/link/?req=doc&amp;base=LAW&amp;n=465775" TargetMode = "External"/><Relationship Id="rId16" Type="http://schemas.openxmlformats.org/officeDocument/2006/relationships/hyperlink" Target="https://login.consultant.ru/link/?req=doc&amp;base=LAW&amp;n=351463&amp;dst=100092" TargetMode = "External"/><Relationship Id="rId17" Type="http://schemas.openxmlformats.org/officeDocument/2006/relationships/hyperlink" Target="https://login.consultant.ru/link/?req=doc&amp;base=LAW&amp;n=489137&amp;dst=201" TargetMode = "External"/><Relationship Id="rId18" Type="http://schemas.openxmlformats.org/officeDocument/2006/relationships/hyperlink" Target="https://login.consultant.ru/link/?req=doc&amp;base=LAW&amp;n=508490&amp;dst=101922" TargetMode = "External"/><Relationship Id="rId19" Type="http://schemas.openxmlformats.org/officeDocument/2006/relationships/hyperlink" Target="https://login.consultant.ru/link/?req=doc&amp;base=LAW&amp;n=508490&amp;dst=101929" TargetMode = "External"/><Relationship Id="rId20" Type="http://schemas.openxmlformats.org/officeDocument/2006/relationships/hyperlink" Target="https://login.consultant.ru/link/?req=doc&amp;base=LAW&amp;n=508490&amp;dst=101929" TargetMode = "External"/><Relationship Id="rId21" Type="http://schemas.openxmlformats.org/officeDocument/2006/relationships/hyperlink" Target="https://login.consultant.ru/link/?req=doc&amp;base=LAW&amp;n=508490&amp;dst=101930" TargetMode = "External"/><Relationship Id="rId22" Type="http://schemas.openxmlformats.org/officeDocument/2006/relationships/hyperlink" Target="https://login.consultant.ru/link/?req=doc&amp;base=LAW&amp;n=394758" TargetMode = "External"/><Relationship Id="rId23" Type="http://schemas.openxmlformats.org/officeDocument/2006/relationships/hyperlink" Target="https://login.consultant.ru/link/?req=doc&amp;base=LAW&amp;n=520138&amp;dst=100294" TargetMode = "External"/><Relationship Id="rId24" Type="http://schemas.openxmlformats.org/officeDocument/2006/relationships/hyperlink" Target="https://login.consultant.ru/link/?req=doc&amp;base=LAW&amp;n=520138&amp;dst=100293" TargetMode = "External"/><Relationship Id="rId25" Type="http://schemas.openxmlformats.org/officeDocument/2006/relationships/hyperlink" Target="https://login.consultant.ru/link/?req=doc&amp;base=LAW&amp;n=520138&amp;dst=983" TargetMode = "External"/><Relationship Id="rId26" Type="http://schemas.openxmlformats.org/officeDocument/2006/relationships/hyperlink" Target="https://login.consultant.ru/link/?req=doc&amp;base=LAW&amp;n=520138&amp;dst=100421" TargetMode = "External"/><Relationship Id="rId27" Type="http://schemas.openxmlformats.org/officeDocument/2006/relationships/hyperlink" Target="https://login.consultant.ru/link/?req=doc&amp;base=LAW&amp;n=520138&amp;dst=100423" TargetMode = "External"/><Relationship Id="rId28" Type="http://schemas.openxmlformats.org/officeDocument/2006/relationships/hyperlink" Target="https://login.consultant.ru/link/?req=doc&amp;base=LAW&amp;n=520138&amp;dst=100426" TargetMode = "External"/><Relationship Id="rId29" Type="http://schemas.openxmlformats.org/officeDocument/2006/relationships/hyperlink" Target="https://login.consultant.ru/link/?req=doc&amp;base=LAW&amp;n=520138&amp;dst=100503" TargetMode = "External"/><Relationship Id="rId30" Type="http://schemas.openxmlformats.org/officeDocument/2006/relationships/hyperlink" Target="https://login.consultant.ru/link/?req=doc&amp;base=LAW&amp;n=520138&amp;dst=101074" TargetMode = "External"/><Relationship Id="rId31" Type="http://schemas.openxmlformats.org/officeDocument/2006/relationships/hyperlink" Target="https://login.consultant.ru/link/?req=doc&amp;base=LAW&amp;n=520138&amp;dst=101790" TargetMode = "External"/><Relationship Id="rId32" Type="http://schemas.openxmlformats.org/officeDocument/2006/relationships/hyperlink" Target="https://login.consultant.ru/link/?req=doc&amp;base=LAW&amp;n=520138&amp;dst=101896" TargetMode = "External"/><Relationship Id="rId33" Type="http://schemas.openxmlformats.org/officeDocument/2006/relationships/hyperlink" Target="https://login.consultant.ru/link/?req=doc&amp;base=LAW&amp;n=520138&amp;dst=101890" TargetMode = "External"/><Relationship Id="rId34" Type="http://schemas.openxmlformats.org/officeDocument/2006/relationships/hyperlink" Target="https://login.consultant.ru/link/?req=doc&amp;base=LAW&amp;n=520138&amp;dst=101896" TargetMode = "External"/><Relationship Id="rId35" Type="http://schemas.openxmlformats.org/officeDocument/2006/relationships/hyperlink" Target="https://login.consultant.ru/link/?req=doc&amp;base=LAW&amp;n=520138&amp;dst=101882" TargetMode = "External"/><Relationship Id="rId36" Type="http://schemas.openxmlformats.org/officeDocument/2006/relationships/hyperlink" Target="https://login.consultant.ru/link/?req=doc&amp;base=LAW&amp;n=520138&amp;dst=101910" TargetMode = "External"/><Relationship Id="rId37" Type="http://schemas.openxmlformats.org/officeDocument/2006/relationships/hyperlink" Target="https://login.consultant.ru/link/?req=doc&amp;base=ASUR&amp;n=3084683" TargetMode = "External"/><Relationship Id="rId38" Type="http://schemas.openxmlformats.org/officeDocument/2006/relationships/hyperlink" Target="https://login.consultant.ru/link/?req=doc&amp;base=RAPS018&amp;n=234119" TargetMode = "External"/><Relationship Id="rId39" Type="http://schemas.openxmlformats.org/officeDocument/2006/relationships/hyperlink" Target="https://login.consultant.ru/link/?req=doc&amp;base=LAW&amp;n=520138&amp;dst=1663"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Уральского округа от 17.02.2026 N Ф09-265/26 по делу N А76-29156/2023
Требование: О взыскании ущерба в связи с повреждением автомобиля в результате пожара.
Обстоятельства: Истец указал, что пожар в здании произошел в связи с неисправностью светильника, ранее поставленного ответчиком.
Решение: Дело передано на новое рассмотрение, так как суды, удовлетворяя требование, на дали правовой оценки доводам ответчика о том, что указанное здание в силу установленных требований должно б</dc:title>
  <dcterms:created xsi:type="dcterms:W3CDTF">2026-03-09T17:58:24Z</dcterms:created>
</cp:coreProperties>
</file>