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ПОВОЛЖСКОГО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декабря 2025 г. N Ф06-6575/2025</w:t>
      </w:r>
    </w:p>
    <w:p>
      <w:pPr>
        <w:pStyle w:val="0"/>
        <w:ind w:firstLine="540"/>
        <w:jc w:val="both"/>
      </w:pPr>
      <w:r>
        <w:rPr>
          <w:sz w:val="20"/>
        </w:rPr>
      </w:r>
    </w:p>
    <w:p>
      <w:pPr>
        <w:pStyle w:val="0"/>
        <w:jc w:val="right"/>
      </w:pPr>
      <w:r>
        <w:rPr>
          <w:sz w:val="20"/>
        </w:rPr>
        <w:t xml:space="preserve">Дело N А49-613/2024</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04 декабря 2025 года.</w:t>
      </w:r>
    </w:p>
    <w:p>
      <w:pPr>
        <w:pStyle w:val="0"/>
        <w:spacing w:before="200" w:lineRule="auto"/>
        <w:ind w:firstLine="540"/>
        <w:jc w:val="both"/>
      </w:pPr>
      <w:r>
        <w:rPr>
          <w:sz w:val="20"/>
        </w:rPr>
        <w:t xml:space="preserve">Полный текст постановления изготовлен 18 декабря 2025 года.</w:t>
      </w:r>
    </w:p>
    <w:p>
      <w:pPr>
        <w:pStyle w:val="0"/>
        <w:spacing w:before="200" w:lineRule="auto"/>
        <w:ind w:firstLine="540"/>
        <w:jc w:val="both"/>
      </w:pPr>
      <w:r>
        <w:rPr>
          <w:sz w:val="20"/>
        </w:rPr>
        <w:t xml:space="preserve">Арбитражный суд Поволжского округа в составе: председательствующего судьи Федоровой Т.Н.,</w:t>
      </w:r>
    </w:p>
    <w:p>
      <w:pPr>
        <w:pStyle w:val="0"/>
        <w:spacing w:before="200" w:lineRule="auto"/>
        <w:ind w:firstLine="540"/>
        <w:jc w:val="both"/>
      </w:pPr>
      <w:r>
        <w:rPr>
          <w:sz w:val="20"/>
        </w:rPr>
        <w:t xml:space="preserve">судей Махмутовой Г.Н., Кормакова Г.А.,</w:t>
      </w:r>
    </w:p>
    <w:p>
      <w:pPr>
        <w:pStyle w:val="0"/>
        <w:spacing w:before="200" w:lineRule="auto"/>
        <w:ind w:firstLine="540"/>
        <w:jc w:val="both"/>
      </w:pPr>
      <w:r>
        <w:rPr>
          <w:sz w:val="20"/>
        </w:rPr>
        <w:t xml:space="preserve">до перерыва при участии представителя истца - Орлова Н.А., доверенность от 21.06.2019,</w:t>
      </w:r>
    </w:p>
    <w:p>
      <w:pPr>
        <w:pStyle w:val="0"/>
        <w:spacing w:before="200" w:lineRule="auto"/>
        <w:ind w:firstLine="540"/>
        <w:jc w:val="both"/>
      </w:pPr>
      <w:r>
        <w:rPr>
          <w:sz w:val="20"/>
        </w:rPr>
        <w:t xml:space="preserve">в отсутствие иных лиц, участвующих в деле, извещенных надлежащим образом,</w:t>
      </w:r>
    </w:p>
    <w:p>
      <w:pPr>
        <w:pStyle w:val="0"/>
        <w:spacing w:before="200" w:lineRule="auto"/>
        <w:ind w:firstLine="540"/>
        <w:jc w:val="both"/>
      </w:pPr>
      <w:r>
        <w:rPr>
          <w:sz w:val="20"/>
        </w:rPr>
        <w:t xml:space="preserve">после перерыва в отсутствие лиц, участвующих в деле, извещенных надлежащим образом,</w:t>
      </w:r>
    </w:p>
    <w:p>
      <w:pPr>
        <w:pStyle w:val="0"/>
        <w:spacing w:before="200" w:lineRule="auto"/>
        <w:ind w:firstLine="540"/>
        <w:jc w:val="both"/>
      </w:pPr>
      <w:r>
        <w:rPr>
          <w:sz w:val="20"/>
        </w:rPr>
        <w:t xml:space="preserve">рассмотрев в открытом судебном заседании кассационную жалобу индивидуального предпринимателя - главы крестьянского (фермерского) хозяйства Орловой Алены Николаевны</w:t>
      </w:r>
    </w:p>
    <w:p>
      <w:pPr>
        <w:pStyle w:val="0"/>
        <w:spacing w:before="200" w:lineRule="auto"/>
        <w:ind w:firstLine="540"/>
        <w:jc w:val="both"/>
      </w:pPr>
      <w:r>
        <w:rPr>
          <w:sz w:val="20"/>
        </w:rPr>
        <w:t xml:space="preserve">на </w:t>
      </w:r>
      <w:hyperlink w:history="0" r:id="rId3" w:tooltip="Ссылка на КонсультантПлюс">
        <w:r>
          <w:rPr>
            <w:sz w:val="20"/>
            <w:color w:val="0000ff"/>
          </w:rPr>
          <w:t xml:space="preserve">решение</w:t>
        </w:r>
      </w:hyperlink>
      <w:r>
        <w:rPr>
          <w:sz w:val="20"/>
        </w:rPr>
        <w:t xml:space="preserve"> Арбитражного суда Пензенской области от 25.02.2025 и </w:t>
      </w:r>
      <w:hyperlink w:history="0" r:id="rId4" w:tooltip="Ссылка на КонсультантПлюс">
        <w:r>
          <w:rPr>
            <w:sz w:val="20"/>
            <w:color w:val="0000ff"/>
          </w:rPr>
          <w:t xml:space="preserve">постановление</w:t>
        </w:r>
      </w:hyperlink>
      <w:r>
        <w:rPr>
          <w:sz w:val="20"/>
        </w:rPr>
        <w:t xml:space="preserve"> Одиннадцатого арбитражного апелляционного суда от 10.07.2025</w:t>
      </w:r>
    </w:p>
    <w:p>
      <w:pPr>
        <w:pStyle w:val="0"/>
        <w:spacing w:before="200" w:lineRule="auto"/>
        <w:ind w:firstLine="540"/>
        <w:jc w:val="both"/>
      </w:pPr>
      <w:r>
        <w:rPr>
          <w:sz w:val="20"/>
        </w:rPr>
        <w:t xml:space="preserve">по делу N А49-613/2024</w:t>
      </w:r>
    </w:p>
    <w:p>
      <w:pPr>
        <w:pStyle w:val="0"/>
        <w:spacing w:before="200" w:lineRule="auto"/>
        <w:ind w:firstLine="540"/>
        <w:jc w:val="both"/>
      </w:pPr>
      <w:r>
        <w:rPr>
          <w:sz w:val="20"/>
        </w:rPr>
        <w:t xml:space="preserve">по исковому заявлению индивидуального предпринимателя - главы крестьянского (фермерского) хозяйства Орловой Алены Николаевны (ОГРНИП 319583500050731, ИНН 580992034371) к обществу с ограниченной ответственностью "Софит" (ОГРН 1105836005571, ИНН 5836644198), третье лицо, не заявляющее самостоятельные требования относительно предмета спора: Министерство сельского хозяйства Пензенской области (ОГРН 1035803002443, ИНН 5836013019) о взыскании упущенной выгоды по договору поставки, процентов за пользование чужими денежными средствами, неустойки,</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индивидуальный предприниматель - глава крестьянского (фермерского) хозяйства Орлова Алена Николаевна (далее - ИП Орлова А.Н., истец) обратилась в Арбитражный суд Пензенской области с иском к обществу с ограниченной ответственностью "Софит" (далее - ООО "Софит", ответчик) о взыскании 872 950 руб. упущенной выгоды в размере не полученного дохода в связи с ненадлежащим исполнением ответчиком обязательств по договору поставки, 4415 руб. 29 коп. процентов за пользование чужими денежными средствами, предусмотренных </w:t>
      </w:r>
      <w:hyperlink w:history="0" r:id="rId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статьей 395</w:t>
        </w:r>
      </w:hyperlink>
      <w:r>
        <w:rPr>
          <w:sz w:val="20"/>
        </w:rPr>
        <w:t xml:space="preserve"> Гражданского кодекса Российской Федерации (далее - ГК РФ), за период с 19.06.2020 по 29.01.2021, 14 742 руб. 25 коп. неустойки за период с 30.03.2020 по 30.12.2020 в соответствии с пунктом 5.4 договора поставки.</w:t>
      </w:r>
    </w:p>
    <w:p>
      <w:pPr>
        <w:pStyle w:val="0"/>
        <w:spacing w:before="200" w:lineRule="auto"/>
        <w:ind w:firstLine="540"/>
        <w:jc w:val="both"/>
      </w:pPr>
      <w:hyperlink w:history="0" r:id="rId6" w:tooltip="Ссылка на КонсультантПлюс">
        <w:r>
          <w:rPr>
            <w:sz w:val="20"/>
            <w:color w:val="0000ff"/>
          </w:rPr>
          <w:t xml:space="preserve">Решением</w:t>
        </w:r>
      </w:hyperlink>
      <w:r>
        <w:rPr>
          <w:sz w:val="20"/>
        </w:rPr>
        <w:t xml:space="preserve"> Арбитражного суда Пензенской области от 25.02.2025, оставленным без изменения </w:t>
      </w:r>
      <w:hyperlink w:history="0" r:id="rId7" w:tooltip="Ссылка на КонсультантПлюс">
        <w:r>
          <w:rPr>
            <w:sz w:val="20"/>
            <w:color w:val="0000ff"/>
          </w:rPr>
          <w:t xml:space="preserve">постановлением</w:t>
        </w:r>
      </w:hyperlink>
      <w:r>
        <w:rPr>
          <w:sz w:val="20"/>
        </w:rPr>
        <w:t xml:space="preserve"> Одиннадцатого арбитражного апелляционного суда от 10.07.2025, с ответчика в пользу истца взыскано 1474 руб. 23 коп. пеней, 4415 руб. 29 коп. процентов за пользование чужими денежными средствами. В удовлетворении остальной части иска отказано.</w:t>
      </w:r>
    </w:p>
    <w:p>
      <w:pPr>
        <w:pStyle w:val="0"/>
        <w:spacing w:before="200" w:lineRule="auto"/>
        <w:ind w:firstLine="540"/>
        <w:jc w:val="both"/>
      </w:pPr>
      <w:r>
        <w:rPr>
          <w:sz w:val="20"/>
        </w:rPr>
        <w:t xml:space="preserve">Не согласившись с принятыми судебными актами, ИП Орлова А.Н., обратилась в Арбитражный суд Поволжского округа с кассационной жалобой, в которой просит их отменить, дело направить на новое рассмотрение в суд первой инстанции, ссылаясь на то, что между прекращением поставок ответчиком и убытками истца имеется прямая причинно-следственная связь, поскольку именно по причине недопоставки товара тепличный комплекс не мог начать производство, и в 2020 г. ИП Орлова А.Н. получила доход в размере 0 руб.</w:t>
      </w:r>
    </w:p>
    <w:p>
      <w:pPr>
        <w:pStyle w:val="0"/>
        <w:spacing w:before="200" w:lineRule="auto"/>
        <w:ind w:firstLine="540"/>
        <w:jc w:val="both"/>
      </w:pPr>
      <w:r>
        <w:rPr>
          <w:sz w:val="20"/>
        </w:rPr>
        <w:t xml:space="preserve">Определением Арбитражного суда Поволжского округа от 23.10.2025 по ходатайству истца рассмотрение дела отложено на 10 часов 40 минут 20.11.2025.</w:t>
      </w:r>
    </w:p>
    <w:p>
      <w:pPr>
        <w:pStyle w:val="0"/>
        <w:spacing w:before="200" w:lineRule="auto"/>
        <w:ind w:firstLine="540"/>
        <w:jc w:val="both"/>
      </w:pPr>
      <w:r>
        <w:rPr>
          <w:sz w:val="20"/>
        </w:rPr>
        <w:t xml:space="preserve">В судебном заседании 20.11.2025 был объявлен перерыв до 12 часов 00 минут 04.12.2025.</w:t>
      </w:r>
    </w:p>
    <w:p>
      <w:pPr>
        <w:pStyle w:val="0"/>
        <w:spacing w:before="200" w:lineRule="auto"/>
        <w:ind w:firstLine="540"/>
        <w:jc w:val="both"/>
      </w:pPr>
      <w:r>
        <w:rPr>
          <w:sz w:val="20"/>
        </w:rPr>
        <w:t xml:space="preserve">Проверив законность обжалуемых судебных актов в соответствии со </w:t>
      </w:r>
      <w:hyperlink w:history="0" r:id="rId8"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статьей 286</w:t>
        </w:r>
      </w:hyperlink>
      <w:r>
        <w:rPr>
          <w:sz w:val="20"/>
        </w:rPr>
        <w:t xml:space="preserve"> Арбитражного процессуального кодекса Российской Федерации, изучив материалы дела, обсудив доводы кассационной жалобы, судебная коллегия считает принятые судебные акты подлежащими отмене, дело - направлению на новое рассмотрение в суд первой инстанции по следующим основаниям.</w:t>
      </w:r>
    </w:p>
    <w:p>
      <w:pPr>
        <w:pStyle w:val="0"/>
        <w:spacing w:before="200" w:lineRule="auto"/>
        <w:ind w:firstLine="540"/>
        <w:jc w:val="both"/>
      </w:pPr>
      <w:r>
        <w:rPr>
          <w:sz w:val="20"/>
        </w:rPr>
        <w:t xml:space="preserve">Как установлено судами первой и апелляционной инстанций и подтверждается материалами дела, в соответствии с протоколом от 11-12.09.2019 заседания конкурсной комиссии при Правительстве Пензенской области по отбору участников регионального проекта "Создание системы поддержки фермеров и развитие сельской кооперации" государственной </w:t>
      </w:r>
      <w:hyperlink w:history="0" r:id="rId9" w:tooltip="Ссылка на КонсультантПлюс">
        <w:r>
          <w:rPr>
            <w:sz w:val="20"/>
            <w:color w:val="0000ff"/>
          </w:rPr>
          <w:t xml:space="preserve">программы</w:t>
        </w:r>
      </w:hyperlink>
      <w:r>
        <w:rPr>
          <w:sz w:val="20"/>
        </w:rPr>
        <w:t xml:space="preserve"> Пензенской области "Развитие агропромышленного комплекса Пензенской области на 2014-2022 годы", ИП Орлова А.Н. признана участником регионального проекта "Создание системы поддержки фермеров и развитие сельской кооперации" в соответствии с представленным бизнес-планом по организации тепличного хозяйства.</w:t>
      </w:r>
    </w:p>
    <w:p>
      <w:pPr>
        <w:pStyle w:val="0"/>
        <w:spacing w:before="200" w:lineRule="auto"/>
        <w:ind w:firstLine="540"/>
        <w:jc w:val="both"/>
      </w:pPr>
      <w:r>
        <w:rPr>
          <w:sz w:val="20"/>
        </w:rPr>
        <w:t xml:space="preserve">Министерство сельского хозяйства Пензенской области (Главный распорядитель средств бюджета Пензенской области) и ИП Орлова А.Н. (получатель) 06.11.2019 подписали Соглашение о предоставлении получателю из бюджета Пензенской области в 2019 году гранта "Агростартап" в форме субсидии в сумме 2 022 080 руб. в целях финансового обеспечения затрат получателя, связанных с приобретением тепличного комплекса в целях реализации получателем мероприятий бизнес-плана "Организация тепличного хозяйства".</w:t>
      </w:r>
    </w:p>
    <w:p>
      <w:pPr>
        <w:pStyle w:val="0"/>
        <w:spacing w:before="200" w:lineRule="auto"/>
        <w:ind w:firstLine="540"/>
        <w:jc w:val="both"/>
      </w:pPr>
      <w:r>
        <w:rPr>
          <w:sz w:val="20"/>
        </w:rPr>
        <w:t xml:space="preserve">Во исполнение вышеуказанного Соглашения о предоставлении гранта Орлова А.Н. (покупатель) заключила договор поставки от 30.12.2019 N 004 (далее - договор) с ООО "Софит" (поставщик), по условиям которого поставщик обязался передать в собственность покупателю продукцию согласно наименованию, количеству, ассортименту и цене, указанным в заказе-спецификации, а покупатель обязался принять и оплатить полученный товар.</w:t>
      </w:r>
    </w:p>
    <w:p>
      <w:pPr>
        <w:pStyle w:val="0"/>
        <w:spacing w:before="200" w:lineRule="auto"/>
        <w:ind w:firstLine="540"/>
        <w:jc w:val="both"/>
      </w:pPr>
      <w:r>
        <w:rPr>
          <w:sz w:val="20"/>
        </w:rPr>
        <w:t xml:space="preserve">В соответствии с пунктом 1.6 договора моментом исполнения поставщиком обязательств по поставке товара и перехода права собственности на товар к покупателю считается дата передачи продукции покупателю, либо его уполномоченному представителю.</w:t>
      </w:r>
    </w:p>
    <w:p>
      <w:pPr>
        <w:pStyle w:val="0"/>
        <w:spacing w:before="200" w:lineRule="auto"/>
        <w:ind w:firstLine="540"/>
        <w:jc w:val="both"/>
      </w:pPr>
      <w:r>
        <w:rPr>
          <w:sz w:val="20"/>
        </w:rPr>
        <w:t xml:space="preserve">В пункте 5.4 договора стороны предусмотрели ответственность поставщика за нарушение срока поставки товара в виде уплаты неустойки в размере 0,1% от стоимости не поставленного товара за каждый день просрочки, но не более 5% от стоимости не поставленного товара.</w:t>
      </w:r>
    </w:p>
    <w:p>
      <w:pPr>
        <w:pStyle w:val="0"/>
        <w:spacing w:before="200" w:lineRule="auto"/>
        <w:ind w:firstLine="540"/>
        <w:jc w:val="both"/>
      </w:pPr>
      <w:r>
        <w:rPr>
          <w:sz w:val="20"/>
        </w:rPr>
        <w:t xml:space="preserve">Договор заключен на срок с даты его подписания до 30.12.2020 с условием о пролонгации еще на один календарный год при отсутствии заявления сторон о расторжении договора (пункт 9.1 договора).</w:t>
      </w:r>
    </w:p>
    <w:p>
      <w:pPr>
        <w:pStyle w:val="0"/>
        <w:spacing w:before="200" w:lineRule="auto"/>
        <w:ind w:firstLine="540"/>
        <w:jc w:val="both"/>
      </w:pPr>
      <w:r>
        <w:rPr>
          <w:sz w:val="20"/>
        </w:rPr>
        <w:t xml:space="preserve">В дело представлены две формы заказа-спецификации (приложения N 1 к договору поставки) с различными согласованными сроками поставки товара (90 календарных дней и 45 календарных дней с даты заключения договора).</w:t>
      </w:r>
    </w:p>
    <w:p>
      <w:pPr>
        <w:pStyle w:val="0"/>
        <w:spacing w:before="200" w:lineRule="auto"/>
        <w:ind w:firstLine="540"/>
        <w:jc w:val="both"/>
      </w:pPr>
      <w:r>
        <w:rPr>
          <w:sz w:val="20"/>
        </w:rPr>
        <w:t xml:space="preserve">Как установлено судами, фактическая воля сторон по договору соответствует условиям заказа-спецификации, содержащего условие о поставке товара в течение 90 дней.</w:t>
      </w:r>
    </w:p>
    <w:p>
      <w:pPr>
        <w:pStyle w:val="0"/>
        <w:spacing w:before="200" w:lineRule="auto"/>
        <w:ind w:firstLine="540"/>
        <w:jc w:val="both"/>
      </w:pPr>
      <w:r>
        <w:rPr>
          <w:sz w:val="20"/>
        </w:rPr>
        <w:t xml:space="preserve">В соответствии с заказом-спецификацией поставщик обязался поставить покупателю тепличный комплекс 416 кв. м в указанной в спецификации комплектации общей стоимостью 2 272 000 руб.; место поставки - Пензенская область, Пензенский район, п. Мичуринский, ул. Набережная, д. 14.</w:t>
      </w:r>
    </w:p>
    <w:p>
      <w:pPr>
        <w:pStyle w:val="0"/>
        <w:spacing w:before="200" w:lineRule="auto"/>
        <w:ind w:firstLine="540"/>
        <w:jc w:val="both"/>
      </w:pPr>
      <w:r>
        <w:rPr>
          <w:sz w:val="20"/>
        </w:rPr>
        <w:t xml:space="preserve">В силу взятых на себя по договору обязательств истец перечислил ответчику денежные средства в общей сумме 2 144 267 руб. 60 коп.</w:t>
      </w:r>
    </w:p>
    <w:p>
      <w:pPr>
        <w:pStyle w:val="0"/>
        <w:spacing w:before="200" w:lineRule="auto"/>
        <w:ind w:firstLine="540"/>
        <w:jc w:val="both"/>
      </w:pPr>
      <w:r>
        <w:rPr>
          <w:sz w:val="20"/>
        </w:rPr>
        <w:t xml:space="preserve">Обязательство по передаче товара ответчик исполнил на сумму 1 977 155 руб., что подтверждается универсальными передаточными документами от 14.02.2020 N 1, от 09.03.2020 N 6, от 18.03.2020 N 7.</w:t>
      </w:r>
    </w:p>
    <w:p>
      <w:pPr>
        <w:pStyle w:val="0"/>
        <w:spacing w:before="200" w:lineRule="auto"/>
        <w:ind w:firstLine="540"/>
        <w:jc w:val="both"/>
      </w:pPr>
      <w:r>
        <w:rPr>
          <w:sz w:val="20"/>
        </w:rPr>
        <w:t xml:space="preserve">Поставку элементов теплицы на сумму 294 845 руб. (2 272 000 руб. - 1 977 155 руб.) ответчик не произвел.</w:t>
      </w:r>
    </w:p>
    <w:p>
      <w:pPr>
        <w:pStyle w:val="0"/>
        <w:spacing w:before="200" w:lineRule="auto"/>
        <w:ind w:firstLine="540"/>
        <w:jc w:val="both"/>
      </w:pPr>
      <w:r>
        <w:rPr>
          <w:sz w:val="20"/>
        </w:rPr>
        <w:t xml:space="preserve">Письмами от 04.12.2020 и от 05.01.2021 ответчик уведомил истца о невозможности исполнения договора и обязался возвратить неосвоенный аванс в размере 167 112 руб. 60 коп. (2 144 267 руб. 60 коп. - 1 977 155 руб.).</w:t>
      </w:r>
    </w:p>
    <w:p>
      <w:pPr>
        <w:pStyle w:val="0"/>
        <w:spacing w:before="200" w:lineRule="auto"/>
        <w:ind w:firstLine="540"/>
        <w:jc w:val="both"/>
      </w:pPr>
      <w:r>
        <w:rPr>
          <w:sz w:val="20"/>
        </w:rPr>
        <w:t xml:space="preserve">29.12.2020 истец направил ответчику уведомление о расторжении договора с 30.12.2020 в связи с нарушением сроков поставки товара.</w:t>
      </w:r>
    </w:p>
    <w:p>
      <w:pPr>
        <w:pStyle w:val="0"/>
        <w:spacing w:before="200" w:lineRule="auto"/>
        <w:ind w:firstLine="540"/>
        <w:jc w:val="both"/>
      </w:pPr>
      <w:r>
        <w:rPr>
          <w:sz w:val="20"/>
        </w:rPr>
        <w:t xml:space="preserve">Одновременно истец направил ответчику требование о возврате аванса, не обеспеченного встречным предоставлением, возмещении упущенной выгоды, оплате договорной неустойки за просрочку оплаты товара, процентов за пользование чужими денежными средствами.</w:t>
      </w:r>
    </w:p>
    <w:p>
      <w:pPr>
        <w:pStyle w:val="0"/>
        <w:spacing w:before="200" w:lineRule="auto"/>
        <w:ind w:firstLine="540"/>
        <w:jc w:val="both"/>
      </w:pPr>
      <w:r>
        <w:rPr>
          <w:sz w:val="20"/>
        </w:rPr>
        <w:t xml:space="preserve">Платежными поручениями от 26.01.2021 N 2, от 29.01.2021 N 3, N 4 ООО "Софит" перечислило ИП Орловой А.Н. денежные средства в сумме 167 112 руб. 60 коп. в размере аванса, не обеспеченного встречным предоставлением. Иные требования истца ответчик не исполнил, что послужило основанием для предъявления истцом настоящего иска.</w:t>
      </w:r>
    </w:p>
    <w:p>
      <w:pPr>
        <w:pStyle w:val="0"/>
        <w:spacing w:before="200" w:lineRule="auto"/>
        <w:ind w:firstLine="540"/>
        <w:jc w:val="both"/>
      </w:pPr>
      <w:r>
        <w:rPr>
          <w:sz w:val="20"/>
        </w:rPr>
        <w:t xml:space="preserve">В обоснование требования об упущенной выгоде представитель истца указал, что ИП Орлова А.Н. была обязана осуществлять свою деятельность в соответствии с условиями бизнес-плана, утвержденного государственной комиссией. Сумма дохода по бизнес-плану, которую ИП Орлова А.Н. должна была получить при полной и своевременной поставке тепличного комплекса за 2020 г. составляет 872 950 руб. По причине недопоставки товара тепличный комплекс не мог начать производство.</w:t>
      </w:r>
    </w:p>
    <w:p>
      <w:pPr>
        <w:pStyle w:val="0"/>
        <w:spacing w:before="200" w:lineRule="auto"/>
        <w:ind w:firstLine="540"/>
        <w:jc w:val="both"/>
      </w:pPr>
      <w:r>
        <w:rPr>
          <w:sz w:val="20"/>
        </w:rPr>
        <w:t xml:space="preserve">По мнению истца, между убытками истца и прекращением поставок ответчиком имеется прямая причинно-следственная связь, поскольку именно по причине недопоставки товара тепличный комплекс не мог начать производство, и в 2020 г. ИП Орлова А.Н. получила доход в размере 0 руб., что подтверждается налоговой декларацией и отчетами в Министерство сельского хозяйства Пензенской области.</w:t>
      </w:r>
    </w:p>
    <w:p>
      <w:pPr>
        <w:pStyle w:val="0"/>
        <w:spacing w:before="200" w:lineRule="auto"/>
        <w:ind w:firstLine="540"/>
        <w:jc w:val="both"/>
      </w:pPr>
      <w:r>
        <w:rPr>
          <w:sz w:val="20"/>
        </w:rPr>
        <w:t xml:space="preserve">В 2021 г. после допоставки не достающего товара сторонней организацией (договоры с ИП Дятловым В.В. от 30.12.2020, от 31.12.2020, от 11.01.2021) и запуска тепличного комплекса, за аналогичный период (8 месяцев), как было запланировано на 2020 г., ИП Орлова А.Н. получила доход в размере 927 585 руб., что подтверждается налоговой декларацией и отчетами в Министерство сельского хозяйства Пензенской области.</w:t>
      </w:r>
    </w:p>
    <w:p>
      <w:pPr>
        <w:pStyle w:val="0"/>
        <w:spacing w:before="200" w:lineRule="auto"/>
        <w:ind w:firstLine="540"/>
        <w:jc w:val="both"/>
      </w:pPr>
      <w:r>
        <w:rPr>
          <w:sz w:val="20"/>
        </w:rPr>
        <w:t xml:space="preserve">Как полагает истец, по вине ООО "Софит" ею были понесены убытки (упущенная выгода) в размере планового дохода в сумме 872 950 руб., предусмотренного бизнес-планом на 2020 г. Указанную сумму истец просил взыскать с ответчика в рамках настоящего дела.</w:t>
      </w:r>
    </w:p>
    <w:p>
      <w:pPr>
        <w:pStyle w:val="0"/>
        <w:spacing w:before="200" w:lineRule="auto"/>
        <w:ind w:firstLine="540"/>
        <w:jc w:val="both"/>
      </w:pPr>
      <w:r>
        <w:rPr>
          <w:sz w:val="20"/>
        </w:rPr>
        <w:t xml:space="preserve">Разрешая спор, суд первой инстанции, с выводами которого согласился суд апелляционной инстанции, руководствовался положениями </w:t>
      </w:r>
      <w:hyperlink w:history="0" r:id="rId1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статей 15</w:t>
        </w:r>
      </w:hyperlink>
      <w:r>
        <w:rPr>
          <w:sz w:val="20"/>
        </w:rPr>
        <w:t xml:space="preserve">, </w:t>
      </w:r>
      <w:hyperlink w:history="0" r:id="rId11"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393</w:t>
        </w:r>
      </w:hyperlink>
      <w:r>
        <w:rPr>
          <w:sz w:val="20"/>
        </w:rPr>
        <w:t xml:space="preserve"> ГК РФ и исходил из того, что истец не доказал факт причинения ему убытков в виде упущенной выгоды.</w:t>
      </w:r>
    </w:p>
    <w:p>
      <w:pPr>
        <w:pStyle w:val="0"/>
        <w:spacing w:before="200" w:lineRule="auto"/>
        <w:ind w:firstLine="540"/>
        <w:jc w:val="both"/>
      </w:pPr>
      <w:r>
        <w:rPr>
          <w:sz w:val="20"/>
        </w:rPr>
        <w:t xml:space="preserve">В частности, судом отмечено о недоказанности того обстоятельства, что допущенное ответчиком нарушение обязательства явилось единственным препятствием, не позволившим ему получить упущенную выгоду.</w:t>
      </w:r>
    </w:p>
    <w:p>
      <w:pPr>
        <w:pStyle w:val="0"/>
        <w:spacing w:before="200" w:lineRule="auto"/>
        <w:ind w:firstLine="540"/>
        <w:jc w:val="both"/>
      </w:pPr>
      <w:r>
        <w:rPr>
          <w:sz w:val="20"/>
        </w:rPr>
        <w:t xml:space="preserve">Как указал суд первой инстанции, в период с даты последней поставки товара ответчиком (18.03.2020) до даты направления ответчику уведомления об отказе от договора поставки (29.12.2020) истец не предпринимал действия, направленные на устранение нарушений условий поставки (не направлял ответчику требования о допоставке, не вел переговоры с ответчиком), либо направленные на поиск нового поставщика недостающих элементов теплицы. Доказательств совершения таких действий истец в материалы дела не представил.</w:t>
      </w:r>
    </w:p>
    <w:p>
      <w:pPr>
        <w:pStyle w:val="0"/>
        <w:spacing w:before="200" w:lineRule="auto"/>
        <w:ind w:firstLine="540"/>
        <w:jc w:val="both"/>
      </w:pPr>
      <w:r>
        <w:rPr>
          <w:sz w:val="20"/>
        </w:rPr>
        <w:t xml:space="preserve">Исходя из этого, суд первой инстанции пришел к выводу о том, что истцом не были предприняты необходимые меры для получения прибыли и не были сделаны необходимые для этой цели приготовления; допущенное ответчиком нарушение обязательства по поставке товара не признано единственным препятствием, не позволившим истцу получить упущенную выгоду; причинно-следственная связь между нарушением ответчиком сроков поставки части товара и неполучением истцом прибыли в 2020 г. отсутствует, в связи с чем отказал в удовлетворении требования истца о взыскании упущенной выгоды.</w:t>
      </w:r>
    </w:p>
    <w:p>
      <w:pPr>
        <w:pStyle w:val="0"/>
        <w:spacing w:before="200" w:lineRule="auto"/>
        <w:ind w:firstLine="540"/>
        <w:jc w:val="both"/>
      </w:pPr>
      <w:r>
        <w:rPr>
          <w:sz w:val="20"/>
        </w:rPr>
        <w:t xml:space="preserve">Судом апелляционной инстанции рассмотрение дела откладывалось с предложением истцу представить пояснения, почему в виде убытков заявлена к взысканию только предполагаемая сумма доходов (из бизнес-плана на 2020 г.), при этом без учета расходов, которые неизбежно возникают при эксплуатации теплицы (отопление, освещение, водоснабжение, транспорт, оплата труда работников и т.п.).</w:t>
      </w:r>
    </w:p>
    <w:p>
      <w:pPr>
        <w:pStyle w:val="0"/>
        <w:spacing w:before="200" w:lineRule="auto"/>
        <w:ind w:firstLine="540"/>
        <w:jc w:val="both"/>
      </w:pPr>
      <w:r>
        <w:rPr>
          <w:sz w:val="20"/>
        </w:rPr>
        <w:t xml:space="preserve">Как указал суд апелляционной инстанции, после отложения рассмотрения дела представлены письменные пояснения, которые не содержали каких-либо новых доводов и расчета. Истец настаивает на взыскании убытков, исходя из прогнозного бизнес-плана, который представлен им для получения субсидии.</w:t>
      </w:r>
    </w:p>
    <w:p>
      <w:pPr>
        <w:pStyle w:val="0"/>
        <w:spacing w:before="200" w:lineRule="auto"/>
        <w:ind w:firstLine="540"/>
        <w:jc w:val="both"/>
      </w:pPr>
      <w:r>
        <w:rPr>
          <w:sz w:val="20"/>
        </w:rPr>
        <w:t xml:space="preserve">В этой связи суд апелляционной инстанции признал правильными выводы суда первой инстанции об отсутствии доказательств причинно-следственной связи между противоправным поведением ответчика, поставившего товар не в полной комплектации, и упущенной выгодой, о которой заявлено истцом при обращении в суд.</w:t>
      </w:r>
    </w:p>
    <w:p>
      <w:pPr>
        <w:pStyle w:val="0"/>
        <w:spacing w:before="200" w:lineRule="auto"/>
        <w:ind w:firstLine="540"/>
        <w:jc w:val="both"/>
      </w:pPr>
      <w:r>
        <w:rPr>
          <w:sz w:val="20"/>
        </w:rPr>
        <w:t xml:space="preserve">Между тем судами не учтено следующее.</w:t>
      </w:r>
    </w:p>
    <w:p>
      <w:pPr>
        <w:pStyle w:val="0"/>
        <w:spacing w:before="200" w:lineRule="auto"/>
        <w:ind w:firstLine="540"/>
        <w:jc w:val="both"/>
      </w:pPr>
      <w:r>
        <w:rPr>
          <w:sz w:val="20"/>
        </w:rPr>
        <w:t xml:space="preserve">Гражданское законодательство основывается на том, что обязательства должны исполняться надлежащим образом в соответствии с условиями обязательства и требованиями закона, иных правовых актов. Никто не вправе извлекать преимущество из своего незаконного поведения (</w:t>
      </w:r>
      <w:hyperlink w:history="0" r:id="rId1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4 статьи 1</w:t>
        </w:r>
      </w:hyperlink>
      <w:r>
        <w:rPr>
          <w:sz w:val="20"/>
        </w:rPr>
        <w:t xml:space="preserve">, </w:t>
      </w:r>
      <w:hyperlink w:history="0" r:id="rId1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1 статьи 309</w:t>
        </w:r>
      </w:hyperlink>
      <w:r>
        <w:rPr>
          <w:sz w:val="20"/>
        </w:rPr>
        <w:t xml:space="preserve"> ГК РФ).</w:t>
      </w:r>
    </w:p>
    <w:p>
      <w:pPr>
        <w:pStyle w:val="0"/>
        <w:spacing w:before="200" w:lineRule="auto"/>
        <w:ind w:firstLine="540"/>
        <w:jc w:val="both"/>
      </w:pPr>
      <w:r>
        <w:rPr>
          <w:sz w:val="20"/>
        </w:rPr>
        <w:t xml:space="preserve">В силу положений </w:t>
      </w:r>
      <w:hyperlink w:history="0" r:id="rId1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15</w:t>
        </w:r>
      </w:hyperlink>
      <w:r>
        <w:rPr>
          <w:sz w:val="20"/>
        </w:rPr>
        <w:t xml:space="preserve">, </w:t>
      </w:r>
      <w:hyperlink w:history="0" r:id="rId15"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1 статьи 393</w:t>
        </w:r>
      </w:hyperlink>
      <w:r>
        <w:rPr>
          <w:sz w:val="20"/>
        </w:rPr>
        <w:t xml:space="preserve">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Должник обязан возместить кредитору убытки, причиненные неисполнением или ненадлежащим исполнением обязательства.</w:t>
      </w:r>
    </w:p>
    <w:p>
      <w:pPr>
        <w:pStyle w:val="0"/>
        <w:spacing w:before="200" w:lineRule="auto"/>
        <w:ind w:firstLine="540"/>
        <w:jc w:val="both"/>
      </w:pPr>
      <w:r>
        <w:rPr>
          <w:sz w:val="20"/>
        </w:rPr>
        <w:t xml:space="preserve">Под убытками согласно </w:t>
      </w:r>
      <w:hyperlink w:history="0" r:id="rId1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пункту 2 статьи 15</w:t>
        </w:r>
      </w:hyperlink>
      <w:r>
        <w:rPr>
          <w:sz w:val="20"/>
        </w:rPr>
        <w:t xml:space="preserve"> ГК РФ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По смыслу </w:t>
      </w:r>
      <w:hyperlink w:history="0" r:id="rId1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статей 15</w:t>
        </w:r>
      </w:hyperlink>
      <w:r>
        <w:rPr>
          <w:sz w:val="20"/>
        </w:rPr>
        <w:t xml:space="preserve">, </w:t>
      </w:r>
      <w:hyperlink w:history="0" r:id="rId1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393</w:t>
        </w:r>
      </w:hyperlink>
      <w:r>
        <w:rPr>
          <w:sz w:val="20"/>
        </w:rPr>
        <w:t xml:space="preserve">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w:t>
      </w:r>
    </w:p>
    <w:p>
      <w:pPr>
        <w:pStyle w:val="0"/>
        <w:spacing w:before="200" w:lineRule="auto"/>
        <w:ind w:firstLine="540"/>
        <w:jc w:val="both"/>
      </w:pPr>
      <w:r>
        <w:rPr>
          <w:sz w:val="20"/>
        </w:rPr>
        <w:t xml:space="preserve">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 (</w:t>
      </w:r>
      <w:hyperlink w:history="0" r:id="rId19"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пункты 4</w:t>
        </w:r>
      </w:hyperlink>
      <w:r>
        <w:rPr>
          <w:sz w:val="20"/>
        </w:rPr>
        <w:t xml:space="preserve"> - </w:t>
      </w:r>
      <w:hyperlink w:history="0" r:id="rId2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5 статьи 393</w:t>
        </w:r>
      </w:hyperlink>
      <w:r>
        <w:rPr>
          <w:sz w:val="20"/>
        </w:rPr>
        <w:t xml:space="preserve"> ГК РФ, </w:t>
      </w:r>
      <w:hyperlink w:history="0" r:id="rId2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пункты 3</w:t>
        </w:r>
      </w:hyperlink>
      <w:r>
        <w:rPr>
          <w:sz w:val="20"/>
        </w:rPr>
        <w:t xml:space="preserve"> - </w:t>
      </w:r>
      <w:hyperlink w:history="0" r:id="rId2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5</w:t>
        </w:r>
      </w:hyperlink>
      <w:r>
        <w:rPr>
          <w:sz w:val="20"/>
        </w:rPr>
        <w:t xml:space="preserve">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N 7).</w:t>
      </w:r>
    </w:p>
    <w:p>
      <w:pPr>
        <w:pStyle w:val="0"/>
        <w:spacing w:before="200" w:lineRule="auto"/>
        <w:ind w:firstLine="540"/>
        <w:jc w:val="both"/>
      </w:pPr>
      <w:r>
        <w:rPr>
          <w:sz w:val="20"/>
        </w:rPr>
        <w:t xml:space="preserve">Из приведенных положений гражданского законодательства и разъяснений Пленума Верховного Суда Российской Федерации следует, что возмещение убытков, как мера ответственности, носит компенсационный характер и направлено на восстановление имущественного положения потерпевшего лица. Убытки в форме упущенной выгоды подлежат возмещению, если соответствующий доход мог быть извлечен в обычных условиях оборота, либо при совершении предпринятых мер и приготовлений, но возможность его получения была утрачена кредитором вследствие неисполнения или ненадлежащего исполнения обязательства должником.</w:t>
      </w:r>
    </w:p>
    <w:p>
      <w:pPr>
        <w:pStyle w:val="0"/>
        <w:spacing w:before="200" w:lineRule="auto"/>
        <w:ind w:firstLine="540"/>
        <w:jc w:val="both"/>
      </w:pPr>
      <w:r>
        <w:rPr>
          <w:sz w:val="20"/>
        </w:rPr>
        <w:t xml:space="preserve">Кредитору (потерпевшему), по крайней мере, необходимо доказать, что в рамках осуществляемой им деятельности у него имелась как таковая возможность получения дохода определенного типа, а допущенные контрагентом нарушения не позволили ему получить этот доход.</w:t>
      </w:r>
    </w:p>
    <w:p>
      <w:pPr>
        <w:pStyle w:val="0"/>
        <w:spacing w:before="200" w:lineRule="auto"/>
        <w:ind w:firstLine="540"/>
        <w:jc w:val="both"/>
      </w:pPr>
      <w:r>
        <w:rPr>
          <w:sz w:val="20"/>
        </w:rPr>
        <w:t xml:space="preserve">При этом объективная сложность доказывания убытков, в том числе в форме упущенной выгоды, их размера, равно как и причинно-следственной связи, не должна снижать уровень правовой защищенности участников экономического оборота при необоснованном посягательстве на их права. Отказ в иске о возмещении упущенной выгоды не может быть основан на том, что истец не представил доказательства, которые бы подтверждали получение дохода в будущем не с вероятностью, а с безусловностью.</w:t>
      </w:r>
    </w:p>
    <w:p>
      <w:pPr>
        <w:pStyle w:val="0"/>
        <w:spacing w:before="200" w:lineRule="auto"/>
        <w:ind w:firstLine="540"/>
        <w:jc w:val="both"/>
      </w:pPr>
      <w:r>
        <w:rPr>
          <w:sz w:val="20"/>
        </w:rPr>
        <w:t xml:space="preserve">Если предназначенное для коммерческого использования имущество приобретается лицом, осуществляющим предпринимательскую или иную экономическую деятельность, то предполагается, что при обычном ходе событий такое лицо, действуя разумно и предусмотрительно, сделало бы необходимые приготовления к началу использования имущества в своей деятельности и, следовательно, доход от ее ведения мог быть получен, по крайней мере, в размере, который является средним (типичным) для данного вида деятельности. Возникновение упущенной выгоды у кредитора в такой ситуации является обстоятельством, которое должник предвидел или мог разумно предвидеть при заключении договора, как вероятное последствие его неисполнения или ненадлежащего исполнения.</w:t>
      </w:r>
    </w:p>
    <w:p>
      <w:pPr>
        <w:pStyle w:val="0"/>
        <w:spacing w:before="200" w:lineRule="auto"/>
        <w:ind w:firstLine="540"/>
        <w:jc w:val="both"/>
      </w:pPr>
      <w:r>
        <w:rPr>
          <w:sz w:val="20"/>
        </w:rPr>
        <w:t xml:space="preserve">Иное может быть доказано должником, который в опровержение доводов кредитора вправе представлять доказательства, свидетельствующие о том, что допущенное им нарушение (уклонение от передачи имущества в установленный срок) не являлось единственным препятствием для извлечения дохода и существовали иные обстоятельства, которые не позволили бы использовать имущество, либо размер полученного дохода в условиях ведения деятельности кредитором должен был составить меньшую величину.</w:t>
      </w:r>
    </w:p>
    <w:p>
      <w:pPr>
        <w:pStyle w:val="0"/>
        <w:spacing w:before="200" w:lineRule="auto"/>
        <w:ind w:firstLine="540"/>
        <w:jc w:val="both"/>
      </w:pPr>
      <w:r>
        <w:rPr>
          <w:sz w:val="20"/>
        </w:rPr>
        <w:t xml:space="preserve">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w:t>
      </w:r>
      <w:hyperlink w:history="0" r:id="rId2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статья 404</w:t>
        </w:r>
      </w:hyperlink>
      <w:r>
        <w:rPr>
          <w:sz w:val="20"/>
        </w:rPr>
        <w:t xml:space="preserve"> ГК РФ).</w:t>
      </w:r>
    </w:p>
    <w:p>
      <w:pPr>
        <w:pStyle w:val="0"/>
        <w:spacing w:before="200" w:lineRule="auto"/>
        <w:ind w:firstLine="540"/>
        <w:jc w:val="both"/>
      </w:pPr>
      <w:r>
        <w:rPr>
          <w:sz w:val="20"/>
        </w:rPr>
        <w:t xml:space="preserve">В рассматриваемом случае выводы суда первой инстанции о том, что истец не предпринимал действия, направленные на устранение нарушений условий поставки (не направлял ответчику требования о допоставке, не вел переговоры с ответчиком) опровергнуты истцом путем представления в суд апелляционной инстанции дополнительных документов.</w:t>
      </w:r>
    </w:p>
    <w:p>
      <w:pPr>
        <w:pStyle w:val="0"/>
        <w:spacing w:before="200" w:lineRule="auto"/>
        <w:ind w:firstLine="540"/>
        <w:jc w:val="both"/>
      </w:pPr>
      <w:r>
        <w:rPr>
          <w:sz w:val="20"/>
        </w:rPr>
        <w:t xml:space="preserve">Согласно доводам подателя кассационной жалобы в ходе судебного разбирательства в суде первой инстанции представителем истца неоднократно заявлялось, что в период с 20 марта 2020 до 29 декабря 2020 года с руководителем ООО "Софит" Хакимовой Н.Г. и владельцем ООО "Софит" Душко Девич, было произведено множество личных встреч и телефонных переговоров и СМС, в которых выдвигались требования произнести допоставку не достающих элементов и товаров, что не оспаривалось ответчиком, в связи с чем соответствующие доказательства были представлены лишь в суд апелляционной инстанции, а именно: выдержки из детализации входящих и исходящих телефонных звонков и СМС-сообщений (как уточняет ответчик, 101 обращение за 245 календарных дней), и приняты судом апелляционной инстанции.</w:t>
      </w:r>
    </w:p>
    <w:p>
      <w:pPr>
        <w:pStyle w:val="0"/>
        <w:spacing w:before="200" w:lineRule="auto"/>
        <w:ind w:firstLine="540"/>
        <w:jc w:val="both"/>
      </w:pPr>
      <w:r>
        <w:rPr>
          <w:sz w:val="20"/>
        </w:rPr>
        <w:t xml:space="preserve">Согласно доводам истца, подтвержденным материалами дела, о наличии прямой причинной связи между недопоставкой продукции со стороны ответчика и неполученным доходом (упущенной выгодой) у истца ИП Орлова А.Н. ссылалась на то, что будучи победителем государственной поддержки фермеров и развитие сельской кооперации государственной </w:t>
      </w:r>
      <w:hyperlink w:history="0" r:id="rId24" w:tooltip="Ссылка на КонсультантПлюс">
        <w:r>
          <w:rPr>
            <w:sz w:val="20"/>
            <w:color w:val="0000ff"/>
          </w:rPr>
          <w:t xml:space="preserve">программы</w:t>
        </w:r>
      </w:hyperlink>
      <w:r>
        <w:rPr>
          <w:sz w:val="20"/>
        </w:rPr>
        <w:t xml:space="preserve"> Пензенской области "Развитие агропромышленного комплекса Пензенской области на 2014-2022 годы" на условиях софинансирования за счет средств федерального бюджета на содействие достижению целевых показателей региональных программ развития агропромышленного комплекса, только после победы в конкурсе для реализации вышеуказанной </w:t>
      </w:r>
      <w:hyperlink w:history="0" r:id="rId25" w:tooltip="Ссылка на КонсультантПлюс">
        <w:r>
          <w:rPr>
            <w:sz w:val="20"/>
            <w:color w:val="0000ff"/>
          </w:rPr>
          <w:t xml:space="preserve">программы</w:t>
        </w:r>
      </w:hyperlink>
      <w:r>
        <w:rPr>
          <w:sz w:val="20"/>
        </w:rPr>
        <w:t xml:space="preserve"> и было создано ИП Глава КФХ Орлова Алена Николаевна. Никакую иную коммерческую деятельность она не осуществляла. Целью финансового обеспечения затрат получателя гранта являлось приобретение тепличного комплекса, согласно утвержденным Министерством сельского хозяйства Пензенской области бизнес-планом и планом расходов. Денежные средства, предоставленные ИП Глава КФХ Орлова Алена Николаевна, имеют целевой характер, использование их по другому назначению не допускается.</w:t>
      </w:r>
    </w:p>
    <w:p>
      <w:pPr>
        <w:pStyle w:val="0"/>
        <w:spacing w:before="200" w:lineRule="auto"/>
        <w:ind w:firstLine="540"/>
        <w:jc w:val="both"/>
      </w:pPr>
      <w:r>
        <w:rPr>
          <w:sz w:val="20"/>
        </w:rPr>
        <w:t xml:space="preserve">В Соглашении о предоставлении из бюджета Пензенской области гранта "Агростартап" в форме субсидий на реализацию проектов создания и развития крестьянских (фермерских) хозяйств на условиях софинансирования за счет средств федерального бюджета на создание системы поддержки фермеров и развития сельскохозяйственной кооперации от 06.11.2019 г. б/н, заключенном между Министерством сельского хозяйства Пензенской области, как Главным распорядителем средств бюджета Пензенской области, и ИП Орловой А.Н., как получателем гранта, предусмотрено в том числе, что (пункт 1.1.) предметом настоящего Соглашения является предоставление из бюджета Пензенской области в 2019 году гранта "Агростартап": (пункт 1.1.1.) в целях финансового обеспечения затрат получателя, связанных с приобретением тепличного комплекса (далее - Грант); (пункт 1.1.2.) в целях реализации получателем следующих проектов (мероприятий): (пункт 1.1.2.1.) бизнес-план: "Организация тепличного хозяйства", который является неотъемлемой частью настоящего Соглашения.</w:t>
      </w:r>
    </w:p>
    <w:p>
      <w:pPr>
        <w:pStyle w:val="0"/>
        <w:spacing w:before="200" w:lineRule="auto"/>
        <w:ind w:firstLine="540"/>
        <w:jc w:val="both"/>
      </w:pPr>
      <w:r>
        <w:rPr>
          <w:sz w:val="20"/>
        </w:rPr>
        <w:t xml:space="preserve">Согласно пункту 2.1 Соглашения грант предоставляется в соответствии с лимитами бюджетных обязательств, доведенными Главному распорядителю средств бюджета Пензенской области как получателю средств бюджета Пензенской области на цели, указанные в разделе 1 настоящего Соглашения, в следующем размере: в 2019 году 2 022 080 руб.</w:t>
      </w:r>
    </w:p>
    <w:p>
      <w:pPr>
        <w:pStyle w:val="0"/>
        <w:spacing w:before="200" w:lineRule="auto"/>
        <w:ind w:firstLine="540"/>
        <w:jc w:val="both"/>
      </w:pPr>
      <w:r>
        <w:rPr>
          <w:sz w:val="20"/>
        </w:rPr>
        <w:t xml:space="preserve">В соответствии с пунктом 3.7. Соглашения при заключении получателем гранта договора с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одним из условий его заключения должно быть согласие поставщиков на осуществление Главным распорядителем средств бюджета Пензенской области и органами государственного финансового контроля проверок соблюдения ими условий, целей и порядка предоставления гранта.</w:t>
      </w:r>
    </w:p>
    <w:p>
      <w:pPr>
        <w:pStyle w:val="0"/>
        <w:spacing w:before="200" w:lineRule="auto"/>
        <w:ind w:firstLine="540"/>
        <w:jc w:val="both"/>
      </w:pPr>
      <w:r>
        <w:rPr>
          <w:sz w:val="20"/>
        </w:rPr>
        <w:t xml:space="preserve">Такой пункт (8.1.) был включен в заключенный между сторонами договор поставки.</w:t>
      </w:r>
    </w:p>
    <w:p>
      <w:pPr>
        <w:pStyle w:val="0"/>
        <w:spacing w:before="200" w:lineRule="auto"/>
        <w:ind w:firstLine="540"/>
        <w:jc w:val="both"/>
      </w:pPr>
      <w:r>
        <w:rPr>
          <w:sz w:val="20"/>
        </w:rPr>
        <w:t xml:space="preserve">Ответчиком не представлено каких-либо доказательств, свидетельствующих о том, что не поставка им части элементов тепличного комплекса в соответствии с договором поставки не являлась единственным препятствием для запуска тепличного комплекса в эксплуатацию и извлечения дохода истцом.</w:t>
      </w:r>
    </w:p>
    <w:p>
      <w:pPr>
        <w:pStyle w:val="0"/>
        <w:spacing w:before="200" w:lineRule="auto"/>
        <w:ind w:firstLine="540"/>
        <w:jc w:val="both"/>
      </w:pPr>
      <w:r>
        <w:rPr>
          <w:sz w:val="20"/>
        </w:rPr>
        <w:t xml:space="preserve">Судами не приведено мотивов, по которым им не приняты вышеприведенные доводы истца, заслуживающие внимания, о наличии примой причинно-следственной связи между неисполнением ответчика договора (в части) и упущенной выгодой истца.</w:t>
      </w:r>
    </w:p>
    <w:p>
      <w:pPr>
        <w:pStyle w:val="0"/>
        <w:spacing w:before="200" w:lineRule="auto"/>
        <w:ind w:firstLine="540"/>
        <w:jc w:val="both"/>
      </w:pPr>
      <w:r>
        <w:rPr>
          <w:sz w:val="20"/>
        </w:rPr>
        <w:t xml:space="preserve">Суд округа отмечает в этой связи, что указание судом апелляционной инстанции о том, что после отложения рассмотрения дела (в целях необходимости представления истцом дополнительных документов по неизбежным расходам при расчете упущенной выгоды) представлены письменные пояснения, которые не содержат каких-либо новых доводов и расчета; истец настаивает на взыскании убытков, исходя из прогнозного бизнес-плана, который представлен им для получения субсидии, касается вопроса о размере упущенной выгоды, а не вопроса о наличии (отсутствии) причинно-следственной связи между недопоставкой продукции ответчиком и упущенной выгодой истца.</w:t>
      </w:r>
    </w:p>
    <w:p>
      <w:pPr>
        <w:pStyle w:val="0"/>
        <w:spacing w:before="200" w:lineRule="auto"/>
        <w:ind w:firstLine="540"/>
        <w:jc w:val="both"/>
      </w:pPr>
      <w:r>
        <w:rPr>
          <w:sz w:val="20"/>
        </w:rPr>
        <w:t xml:space="preserve">Что касается размера упущенной выгоды, поскольку упущенная выгода представляет собой неполученный доход, то, как указано в </w:t>
      </w:r>
      <w:hyperlink w:history="0" r:id="rId2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пункте 14</w:t>
        </w:r>
      </w:hyperlink>
      <w:r>
        <w:rPr>
          <w:sz w:val="20"/>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pPr>
        <w:pStyle w:val="0"/>
        <w:spacing w:before="200" w:lineRule="auto"/>
        <w:ind w:firstLine="540"/>
        <w:jc w:val="both"/>
      </w:pPr>
      <w:r>
        <w:rPr>
          <w:sz w:val="20"/>
        </w:rPr>
        <w:t xml:space="preserve">Судами не приняты в качестве надлежащего доказательства размера упущенной выгоды представленные истцом данные из бизнес-плана, который, как указал суд апелляционной инстанции, изготовлен для получения субсидии.</w:t>
      </w:r>
    </w:p>
    <w:p>
      <w:pPr>
        <w:pStyle w:val="0"/>
        <w:spacing w:before="200" w:lineRule="auto"/>
        <w:ind w:firstLine="540"/>
        <w:jc w:val="both"/>
      </w:pPr>
      <w:r>
        <w:rPr>
          <w:sz w:val="20"/>
        </w:rPr>
        <w:t xml:space="preserve">Между тем, данный бизнес-план составлен в рамках государственной программы софинансирования, утвержден государственной комиссией, обязателен к исполнению получателем гранта, за полученные денежные средства в рамках государственной программы и целевое его использование получатель гранта обязан отчитываться, договор с ответчиком на поставку теплицы заключен истцом в рамках исполнения истцом обязательств по Соглашению, условиями которого в том числе предусмотрено: направлять средства гранта на финансовое обеспечение расходов, предусмотренных планом-расходом бизнес-плана, в соответствие с Порядком предоставления грантов (пункт 5.3.1.2), использовать имущество, закупаемое за счет гранта, исключительно на создание и развитие хозяйства (пункт 5.3.7), осуществлять выполнение условий бизнес-плана (пункт 5.3.14), выполнять иные обязательства, установленные бюджетным законодательством Российской Федерации, Порядком предоставления грантов и настоящим Соглашением (пункт 5.3.15).</w:t>
      </w:r>
    </w:p>
    <w:p>
      <w:pPr>
        <w:pStyle w:val="0"/>
        <w:spacing w:before="200" w:lineRule="auto"/>
        <w:ind w:firstLine="540"/>
        <w:jc w:val="both"/>
      </w:pPr>
      <w:r>
        <w:rPr>
          <w:sz w:val="20"/>
        </w:rPr>
        <w:t xml:space="preserve">Поэтому у судов не имелось оснований для непризнания бизнес-плана в качестве надлежащего доказательства по делу.</w:t>
      </w:r>
    </w:p>
    <w:p>
      <w:pPr>
        <w:pStyle w:val="0"/>
        <w:spacing w:before="200" w:lineRule="auto"/>
        <w:ind w:firstLine="540"/>
        <w:jc w:val="both"/>
      </w:pPr>
      <w:r>
        <w:rPr>
          <w:sz w:val="20"/>
        </w:rPr>
        <w:t xml:space="preserve">В материалах дела не имеется полного текста бизнес-плана. Однако из имеющихся в деле выдержек из бизнес-плана следует, что в нем содержатся как прогнозируемый доход, так и расходы, который понес бы получатель гранта при реализации бизнес-плана.</w:t>
      </w:r>
    </w:p>
    <w:p>
      <w:pPr>
        <w:pStyle w:val="0"/>
        <w:spacing w:before="200" w:lineRule="auto"/>
        <w:ind w:firstLine="540"/>
        <w:jc w:val="both"/>
      </w:pPr>
      <w:r>
        <w:rPr>
          <w:sz w:val="20"/>
        </w:rPr>
        <w:t xml:space="preserve">Согласно пояснениям представителя истца до объявленного судом округа перерыва по делу в бизнес-плане содержатся все необходимые обоснования и расчеты.</w:t>
      </w:r>
    </w:p>
    <w:p>
      <w:pPr>
        <w:pStyle w:val="0"/>
        <w:spacing w:before="200" w:lineRule="auto"/>
        <w:ind w:firstLine="540"/>
        <w:jc w:val="both"/>
      </w:pPr>
      <w:r>
        <w:rPr>
          <w:sz w:val="20"/>
        </w:rPr>
        <w:t xml:space="preserve">Однако положения бизнес-плана в полном объеме судами не исследовались.</w:t>
      </w:r>
    </w:p>
    <w:p>
      <w:pPr>
        <w:pStyle w:val="0"/>
        <w:spacing w:before="200" w:lineRule="auto"/>
        <w:ind w:firstLine="540"/>
        <w:jc w:val="both"/>
      </w:pPr>
      <w:r>
        <w:rPr>
          <w:sz w:val="20"/>
        </w:rPr>
        <w:t xml:space="preserve">Как указывает истец, по запросу суда первой инстанции в ходе судебного заседания 25.07.2024 им представлены в суд документы первичного бухгалтерского учета о фактически понесенных им расходах в ходе своей хозяйственной деятельности в 2020 году, что подтверждается материалами дела.</w:t>
      </w:r>
    </w:p>
    <w:p>
      <w:pPr>
        <w:pStyle w:val="0"/>
        <w:spacing w:before="200" w:lineRule="auto"/>
        <w:ind w:firstLine="540"/>
        <w:jc w:val="both"/>
      </w:pPr>
      <w:r>
        <w:rPr>
          <w:sz w:val="20"/>
        </w:rPr>
        <w:t xml:space="preserve">В суде кассационной инстанции представитель ответчика пояснил, что предъявленная им ко взысканию сумма упущенной выгоды представляет собой сумму прогнозного валового дохода за спорный период (2020 год) по бизнес-плану - 872 руб. 95 коп. без учета каких-либо расходов.</w:t>
      </w:r>
    </w:p>
    <w:p>
      <w:pPr>
        <w:pStyle w:val="0"/>
        <w:spacing w:before="200" w:lineRule="auto"/>
        <w:ind w:firstLine="540"/>
        <w:jc w:val="both"/>
      </w:pPr>
      <w:r>
        <w:rPr>
          <w:sz w:val="20"/>
        </w:rPr>
        <w:t xml:space="preserve">Суд округа в этой связи отмечает следующее.</w:t>
      </w:r>
    </w:p>
    <w:p>
      <w:pPr>
        <w:pStyle w:val="0"/>
        <w:spacing w:before="200" w:lineRule="auto"/>
        <w:ind w:firstLine="540"/>
        <w:jc w:val="both"/>
      </w:pPr>
      <w:r>
        <w:rPr>
          <w:sz w:val="20"/>
        </w:rPr>
        <w:t xml:space="preserve">По смыслу </w:t>
      </w:r>
      <w:hyperlink w:history="0" r:id="rId2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 2 статьи 15</w:t>
        </w:r>
      </w:hyperlink>
      <w:r>
        <w:rPr>
          <w:sz w:val="20"/>
        </w:rPr>
        <w:t xml:space="preserve"> ГК РФ при определении потерь кредитора должна быть учтена встречная выгода, полученная им в связи с экономией на расходах, необходимость несения которых возникла бы при отсутствии нарушений (стоимости неизрасходованного сырья, неоплаченной электроэнергии и т.д.).</w:t>
      </w:r>
    </w:p>
    <w:p>
      <w:pPr>
        <w:pStyle w:val="0"/>
        <w:spacing w:before="200" w:lineRule="auto"/>
        <w:ind w:firstLine="540"/>
        <w:jc w:val="both"/>
      </w:pPr>
      <w:r>
        <w:rPr>
          <w:sz w:val="20"/>
        </w:rPr>
        <w:t xml:space="preserve">То есть размер упущенной выгоды должен определяться исходя из дохода, который мог бы получить истец при обычных условиях гражданского оборота, за вычетом затрат, не понесенных им в результате допущенного контрагентом нарушения.</w:t>
      </w:r>
    </w:p>
    <w:p>
      <w:pPr>
        <w:pStyle w:val="0"/>
        <w:spacing w:before="200" w:lineRule="auto"/>
        <w:ind w:firstLine="540"/>
        <w:jc w:val="both"/>
      </w:pPr>
      <w:r>
        <w:rPr>
          <w:sz w:val="20"/>
        </w:rPr>
        <w:t xml:space="preserve">Аналогичная позиция относительно определения размера упущенной выгоды с учетом разумных расходов на получение дохода при обычных условиях гражданского оборота в настоящее время закреплена в </w:t>
      </w:r>
      <w:hyperlink w:history="0" r:id="rId2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пункте 2</w:t>
        </w:r>
      </w:hyperlink>
      <w:r>
        <w:rPr>
          <w:sz w:val="20"/>
        </w:rPr>
        <w:t xml:space="preserve"> постановления Пленума N 7.</w:t>
      </w:r>
    </w:p>
    <w:p>
      <w:pPr>
        <w:pStyle w:val="0"/>
        <w:spacing w:before="200" w:lineRule="auto"/>
        <w:ind w:firstLine="540"/>
        <w:jc w:val="both"/>
      </w:pPr>
      <w:r>
        <w:rPr>
          <w:sz w:val="20"/>
        </w:rPr>
        <w:t xml:space="preserve">При таких обстоятельствах принятые по делу судебные акты не могут быть признаны законными и обоснованными, в связи с чем они подлежат отмене с направлением дела на новое рассмотрение в суд первой инстанции.</w:t>
      </w:r>
    </w:p>
    <w:p>
      <w:pPr>
        <w:pStyle w:val="0"/>
        <w:spacing w:before="200" w:lineRule="auto"/>
        <w:ind w:firstLine="540"/>
        <w:jc w:val="both"/>
      </w:pPr>
      <w:r>
        <w:rPr>
          <w:sz w:val="20"/>
        </w:rPr>
        <w:t xml:space="preserve">При новом рассмотрении дела суду следует учесть изложенную в настоящем </w:t>
      </w:r>
      <w:hyperlink w:history="0" r:id="rId29"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постановлении</w:t>
        </w:r>
      </w:hyperlink>
      <w:r>
        <w:rPr>
          <w:sz w:val="20"/>
        </w:rPr>
        <w:t xml:space="preserve"> правовую позицию; проверить доводы истца и возражения ответчика относительно упущенной выгоды истца в связи с недопоставкой ответчиком элементов тепличного комплекса; предложить сторонам представить дополнительные доказательства в обоснование своих требований и возражений, в частности, предложить истцу представить расчет упущенной выгоды, исходя из правовых указаний суда округа, полный текст бизнес-плана с соответствующими обоснованиями и расчетами, а ответчику - доказательства, подтверждающие наличия иных причин, чем недопоставка им элементов тепличного комплекса, не позволивших истцу получить запланированный доход; суду необходимо также учесть требования </w:t>
      </w:r>
      <w:hyperlink w:history="0" r:id="rId30"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статьи 394</w:t>
        </w:r>
      </w:hyperlink>
      <w:r>
        <w:rPr>
          <w:sz w:val="20"/>
        </w:rPr>
        <w:t xml:space="preserve"> ГК РФ, устанавливающей правила определения итоговой суммы убытков при заявлении как убытков, так и акцессорных требований, и с учетом установленного принять законный и обоснованный судебный акт.</w:t>
      </w:r>
    </w:p>
    <w:p>
      <w:pPr>
        <w:pStyle w:val="0"/>
        <w:spacing w:before="200" w:lineRule="auto"/>
        <w:ind w:firstLine="540"/>
        <w:jc w:val="both"/>
      </w:pPr>
      <w:r>
        <w:rPr>
          <w:sz w:val="20"/>
        </w:rPr>
        <w:t xml:space="preserve">На основании изложенного и руководствуясь </w:t>
      </w:r>
      <w:hyperlink w:history="0" r:id="rId31"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пунктом 3 части 1 статьи 287</w:t>
        </w:r>
      </w:hyperlink>
      <w:r>
        <w:rPr>
          <w:sz w:val="20"/>
        </w:rPr>
        <w:t xml:space="preserve">, </w:t>
      </w:r>
      <w:hyperlink w:history="0" r:id="rId32"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статьями 286</w:t>
        </w:r>
      </w:hyperlink>
      <w:r>
        <w:rPr>
          <w:sz w:val="20"/>
        </w:rPr>
        <w:t xml:space="preserve">, </w:t>
      </w:r>
      <w:hyperlink w:history="0" r:id="rId33"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288</w:t>
        </w:r>
      </w:hyperlink>
      <w:r>
        <w:rPr>
          <w:sz w:val="20"/>
        </w:rPr>
        <w:t xml:space="preserve">, </w:t>
      </w:r>
      <w:hyperlink w:history="0" r:id="rId34"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289</w:t>
        </w:r>
      </w:hyperlink>
      <w:r>
        <w:rPr>
          <w:sz w:val="20"/>
        </w:rPr>
        <w:t xml:space="preserve"> Арбитражного процессуального кодекса Российской Федерации, Арбитражный суд Поволжского округа</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35" w:tooltip="Ссылка на КонсультантПлюс">
        <w:r>
          <w:rPr>
            <w:sz w:val="20"/>
            <w:color w:val="0000ff"/>
          </w:rPr>
          <w:t xml:space="preserve">решение</w:t>
        </w:r>
      </w:hyperlink>
      <w:r>
        <w:rPr>
          <w:sz w:val="20"/>
        </w:rPr>
        <w:t xml:space="preserve"> Арбитражного суда Пензенской области от 25.02.2025 и </w:t>
      </w:r>
      <w:hyperlink w:history="0" r:id="rId36" w:tooltip="Ссылка на КонсультантПлюс">
        <w:r>
          <w:rPr>
            <w:sz w:val="20"/>
            <w:color w:val="0000ff"/>
          </w:rPr>
          <w:t xml:space="preserve">постановление</w:t>
        </w:r>
      </w:hyperlink>
      <w:r>
        <w:rPr>
          <w:sz w:val="20"/>
        </w:rPr>
        <w:t xml:space="preserve"> Одиннадцатого арбитражного апелляционного суда от 10.07.2025 по делу N А49-613/2024 отменить.</w:t>
      </w:r>
    </w:p>
    <w:p>
      <w:pPr>
        <w:pStyle w:val="0"/>
        <w:spacing w:before="200" w:lineRule="auto"/>
        <w:ind w:firstLine="540"/>
        <w:jc w:val="both"/>
      </w:pPr>
      <w:r>
        <w:rPr>
          <w:sz w:val="20"/>
        </w:rPr>
        <w:t xml:space="preserve">Дело направить на новое рассмотрение в Арбитражный суд Пензенской области.</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порядке и сроки, установленные </w:t>
      </w:r>
      <w:hyperlink w:history="0" r:id="rId37"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статьями 291.1</w:t>
        </w:r>
      </w:hyperlink>
      <w:r>
        <w:rPr>
          <w:sz w:val="20"/>
        </w:rPr>
        <w:t xml:space="preserve">, </w:t>
      </w:r>
      <w:hyperlink w:history="0" r:id="rId38"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291.2</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Т.Н.ФЕДОРОВА</w:t>
      </w:r>
    </w:p>
    <w:p>
      <w:pPr>
        <w:pStyle w:val="0"/>
        <w:jc w:val="right"/>
      </w:pPr>
      <w:r>
        <w:rPr>
          <w:sz w:val="20"/>
        </w:rPr>
      </w:r>
    </w:p>
    <w:p>
      <w:pPr>
        <w:pStyle w:val="0"/>
        <w:jc w:val="right"/>
      </w:pPr>
      <w:r>
        <w:rPr>
          <w:sz w:val="20"/>
        </w:rPr>
        <w:t xml:space="preserve">Судьи</w:t>
      </w:r>
    </w:p>
    <w:p>
      <w:pPr>
        <w:pStyle w:val="0"/>
        <w:jc w:val="right"/>
      </w:pPr>
      <w:r>
        <w:rPr>
          <w:sz w:val="20"/>
        </w:rPr>
        <w:t xml:space="preserve">Г.Н.МАХМУТОВА</w:t>
      </w:r>
    </w:p>
    <w:p>
      <w:pPr>
        <w:pStyle w:val="0"/>
        <w:jc w:val="right"/>
      </w:pPr>
      <w:r>
        <w:rPr>
          <w:sz w:val="20"/>
        </w:rPr>
        <w:t xml:space="preserve">Г.А.КОРМАКОВ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PV&amp;n=2432470" TargetMode = "External"/><Relationship Id="rId4" Type="http://schemas.openxmlformats.org/officeDocument/2006/relationships/hyperlink" Target="https://login.consultant.ru/link/?req=doc&amp;base=RAPS011&amp;n=252338" TargetMode = "External"/><Relationship Id="rId5" Type="http://schemas.openxmlformats.org/officeDocument/2006/relationships/hyperlink" Target="https://login.consultant.ru/link/?req=doc&amp;base=LAW&amp;n=482692&amp;dst=101897" TargetMode = "External"/><Relationship Id="rId6" Type="http://schemas.openxmlformats.org/officeDocument/2006/relationships/hyperlink" Target="https://login.consultant.ru/link/?req=doc&amp;base=ASPV&amp;n=2432470" TargetMode = "External"/><Relationship Id="rId7" Type="http://schemas.openxmlformats.org/officeDocument/2006/relationships/hyperlink" Target="https://login.consultant.ru/link/?req=doc&amp;base=RAPS011&amp;n=252338" TargetMode = "External"/><Relationship Id="rId8" Type="http://schemas.openxmlformats.org/officeDocument/2006/relationships/hyperlink" Target="https://login.consultant.ru/link/?req=doc&amp;base=LAW&amp;n=502254&amp;dst=101882" TargetMode = "External"/><Relationship Id="rId9" Type="http://schemas.openxmlformats.org/officeDocument/2006/relationships/hyperlink" Target="https://login.consultant.ru/link/?req=doc&amp;base=RLAW021&amp;n=199965&amp;dst=107948" TargetMode = "External"/><Relationship Id="rId10" Type="http://schemas.openxmlformats.org/officeDocument/2006/relationships/hyperlink" Target="https://login.consultant.ru/link/?req=doc&amp;base=LAW&amp;n=482692&amp;dst=100091" TargetMode = "External"/><Relationship Id="rId11" Type="http://schemas.openxmlformats.org/officeDocument/2006/relationships/hyperlink" Target="https://login.consultant.ru/link/?req=doc&amp;base=LAW&amp;n=482692&amp;dst=101888" TargetMode = "External"/><Relationship Id="rId12" Type="http://schemas.openxmlformats.org/officeDocument/2006/relationships/hyperlink" Target="https://login.consultant.ru/link/?req=doc&amp;base=LAW&amp;n=482692&amp;dst=232" TargetMode = "External"/><Relationship Id="rId13" Type="http://schemas.openxmlformats.org/officeDocument/2006/relationships/hyperlink" Target="https://login.consultant.ru/link/?req=doc&amp;base=LAW&amp;n=482692&amp;dst=10506" TargetMode = "External"/><Relationship Id="rId14" Type="http://schemas.openxmlformats.org/officeDocument/2006/relationships/hyperlink" Target="https://login.consultant.ru/link/?req=doc&amp;base=LAW&amp;n=482692&amp;dst=100092" TargetMode = "External"/><Relationship Id="rId15" Type="http://schemas.openxmlformats.org/officeDocument/2006/relationships/hyperlink" Target="https://login.consultant.ru/link/?req=doc&amp;base=LAW&amp;n=482692&amp;dst=101889" TargetMode = "External"/><Relationship Id="rId16" Type="http://schemas.openxmlformats.org/officeDocument/2006/relationships/hyperlink" Target="https://login.consultant.ru/link/?req=doc&amp;base=LAW&amp;n=482692&amp;dst=100093" TargetMode = "External"/><Relationship Id="rId17" Type="http://schemas.openxmlformats.org/officeDocument/2006/relationships/hyperlink" Target="https://login.consultant.ru/link/?req=doc&amp;base=LAW&amp;n=482692&amp;dst=100091" TargetMode = "External"/><Relationship Id="rId18" Type="http://schemas.openxmlformats.org/officeDocument/2006/relationships/hyperlink" Target="https://login.consultant.ru/link/?req=doc&amp;base=LAW&amp;n=482692&amp;dst=101888" TargetMode = "External"/><Relationship Id="rId19" Type="http://schemas.openxmlformats.org/officeDocument/2006/relationships/hyperlink" Target="https://login.consultant.ru/link/?req=doc&amp;base=LAW&amp;n=482692&amp;dst=101892" TargetMode = "External"/><Relationship Id="rId20" Type="http://schemas.openxmlformats.org/officeDocument/2006/relationships/hyperlink" Target="https://login.consultant.ru/link/?req=doc&amp;base=LAW&amp;n=482692&amp;dst=10684" TargetMode = "External"/><Relationship Id="rId21" Type="http://schemas.openxmlformats.org/officeDocument/2006/relationships/hyperlink" Target="https://login.consultant.ru/link/?req=doc&amp;base=LAW&amp;n=388271&amp;dst=100012" TargetMode = "External"/><Relationship Id="rId22" Type="http://schemas.openxmlformats.org/officeDocument/2006/relationships/hyperlink" Target="https://login.consultant.ru/link/?req=doc&amp;base=LAW&amp;n=388271&amp;dst=100017" TargetMode = "External"/><Relationship Id="rId23" Type="http://schemas.openxmlformats.org/officeDocument/2006/relationships/hyperlink" Target="https://login.consultant.ru/link/?req=doc&amp;base=LAW&amp;n=482692&amp;dst=101928" TargetMode = "External"/><Relationship Id="rId24" Type="http://schemas.openxmlformats.org/officeDocument/2006/relationships/hyperlink" Target="https://login.consultant.ru/link/?req=doc&amp;base=RLAW021&amp;n=199965&amp;dst=107948" TargetMode = "External"/><Relationship Id="rId25" Type="http://schemas.openxmlformats.org/officeDocument/2006/relationships/hyperlink" Target="https://login.consultant.ru/link/?req=doc&amp;base=RLAW021&amp;n=199965&amp;dst=107948" TargetMode = "External"/><Relationship Id="rId26" Type="http://schemas.openxmlformats.org/officeDocument/2006/relationships/hyperlink" Target="https://login.consultant.ru/link/?req=doc&amp;base=LAW&amp;n=181602&amp;dst=100039" TargetMode = "External"/><Relationship Id="rId27" Type="http://schemas.openxmlformats.org/officeDocument/2006/relationships/hyperlink" Target="https://login.consultant.ru/link/?req=doc&amp;base=LAW&amp;n=482692&amp;dst=100093" TargetMode = "External"/><Relationship Id="rId28" Type="http://schemas.openxmlformats.org/officeDocument/2006/relationships/hyperlink" Target="https://login.consultant.ru/link/?req=doc&amp;base=LAW&amp;n=388271&amp;dst=100008" TargetMode = "External"/><Relationship Id="rId29" Type="http://schemas.openxmlformats.org/officeDocument/2006/relationships/hyperlink" Target="https://login.consultant.ru/link/?req=doc&amp;base=LAW&amp;n=388271" TargetMode = "External"/><Relationship Id="rId30" Type="http://schemas.openxmlformats.org/officeDocument/2006/relationships/hyperlink" Target="https://login.consultant.ru/link/?req=doc&amp;base=LAW&amp;n=482692&amp;dst=101893" TargetMode = "External"/><Relationship Id="rId31" Type="http://schemas.openxmlformats.org/officeDocument/2006/relationships/hyperlink" Target="https://login.consultant.ru/link/?req=doc&amp;base=LAW&amp;n=502254&amp;dst=101890" TargetMode = "External"/><Relationship Id="rId32" Type="http://schemas.openxmlformats.org/officeDocument/2006/relationships/hyperlink" Target="https://login.consultant.ru/link/?req=doc&amp;base=LAW&amp;n=502254&amp;dst=101882" TargetMode = "External"/><Relationship Id="rId33" Type="http://schemas.openxmlformats.org/officeDocument/2006/relationships/hyperlink" Target="https://login.consultant.ru/link/?req=doc&amp;base=LAW&amp;n=502254&amp;dst=1084" TargetMode = "External"/><Relationship Id="rId34" Type="http://schemas.openxmlformats.org/officeDocument/2006/relationships/hyperlink" Target="https://login.consultant.ru/link/?req=doc&amp;base=LAW&amp;n=502254&amp;dst=101910" TargetMode = "External"/><Relationship Id="rId35" Type="http://schemas.openxmlformats.org/officeDocument/2006/relationships/hyperlink" Target="https://login.consultant.ru/link/?req=doc&amp;base=ASPV&amp;n=2432470" TargetMode = "External"/><Relationship Id="rId36" Type="http://schemas.openxmlformats.org/officeDocument/2006/relationships/hyperlink" Target="https://login.consultant.ru/link/?req=doc&amp;base=RAPS011&amp;n=252338" TargetMode = "External"/><Relationship Id="rId37" Type="http://schemas.openxmlformats.org/officeDocument/2006/relationships/hyperlink" Target="https://login.consultant.ru/link/?req=doc&amp;base=LAW&amp;n=502254&amp;dst=1663" TargetMode = "External"/><Relationship Id="rId38" Type="http://schemas.openxmlformats.org/officeDocument/2006/relationships/hyperlink" Target="https://login.consultant.ru/link/?req=doc&amp;base=LAW&amp;n=502254&amp;dst=69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Поволжского округа от 18.12.2025 N Ф06-6575/2025 по делу N А49-613/2024
Требование: О взыскании упущенной выгоды, неустойки.
Обстоятельства: Между сторонами был заключен договор поставки. Покупатель ссылается на то, что в связи с недопоставкой товара поставщиком им были понесены убытки в виде упущенной выгоды в размере планового дохода, предусмотренного бизнес-планом.
Решение: Дело передано на новое рассмотрение, поскольку судами не были исследованы доводы истца о наличии пря</dc:title>
  <dcterms:created xsi:type="dcterms:W3CDTF">2026-01-11T20:49:30Z</dcterms:created>
</cp:coreProperties>
</file>